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3370" w14:textId="77777777" w:rsidR="00052952" w:rsidRDefault="00052952" w:rsidP="00052952"/>
    <w:p w14:paraId="4AC540D4" w14:textId="77777777" w:rsidR="00052952" w:rsidRDefault="00052952" w:rsidP="00052952">
      <w:pPr>
        <w:jc w:val="center"/>
        <w:rPr>
          <w:b/>
          <w:bCs/>
          <w:color w:val="4472C4"/>
          <w:sz w:val="44"/>
          <w:szCs w:val="44"/>
          <w:u w:val="single"/>
        </w:rPr>
      </w:pPr>
      <w:r>
        <w:rPr>
          <w:b/>
          <w:bCs/>
          <w:color w:val="4472C4"/>
          <w:sz w:val="44"/>
          <w:szCs w:val="44"/>
          <w:u w:val="single"/>
        </w:rPr>
        <w:t>SOUTH CAROLINA CHAPTER OF THE AMERICAN ACADEMY OF PEDIATRICS’ NEWSLETTER</w:t>
      </w:r>
    </w:p>
    <w:p w14:paraId="0C54E97F" w14:textId="77777777" w:rsidR="00052952" w:rsidRDefault="00052952" w:rsidP="00052952">
      <w:pPr>
        <w:jc w:val="center"/>
        <w:rPr>
          <w:b/>
          <w:bCs/>
          <w:color w:val="4472C4"/>
          <w:sz w:val="44"/>
          <w:szCs w:val="44"/>
          <w:u w:val="single"/>
        </w:rPr>
      </w:pPr>
      <w:r>
        <w:rPr>
          <w:b/>
          <w:bCs/>
          <w:color w:val="4472C4"/>
          <w:sz w:val="44"/>
          <w:szCs w:val="44"/>
          <w:u w:val="single"/>
        </w:rPr>
        <w:t>FEBRUARY 2021</w:t>
      </w:r>
    </w:p>
    <w:p w14:paraId="308E76DE" w14:textId="77777777" w:rsidR="00052952" w:rsidRDefault="00052952" w:rsidP="00052952">
      <w:pPr>
        <w:jc w:val="center"/>
        <w:rPr>
          <w:b/>
          <w:bCs/>
          <w:sz w:val="44"/>
          <w:szCs w:val="44"/>
        </w:rPr>
      </w:pPr>
    </w:p>
    <w:p w14:paraId="6472F24C" w14:textId="77777777" w:rsidR="00052952" w:rsidRDefault="00052952" w:rsidP="00052952">
      <w:pPr>
        <w:rPr>
          <w:b/>
          <w:bCs/>
          <w:u w:val="single"/>
        </w:rPr>
      </w:pPr>
      <w:r>
        <w:rPr>
          <w:b/>
          <w:bCs/>
          <w:u w:val="single"/>
        </w:rPr>
        <w:t>PRESIDENT’S MESSAGE – Robert Saul, MD, FAAP</w:t>
      </w:r>
    </w:p>
    <w:p w14:paraId="28C62AAC" w14:textId="77777777" w:rsidR="00052952" w:rsidRDefault="00052952" w:rsidP="00052952">
      <w:r>
        <w:t>As promised in an email last month, the newsletter from the SCAAP will be sent monthly with a short lead article and then links to communications that are sent to the Executive Director or Executive Committee over the previous month.  We want to keep open the lines of communication without flooding your inboxes.  We had an excellent first Board meeting back in January and hope to communicate the action items from that meeting in an upcoming newsletter.  Please do not hesitate to use the valuable resource of the website (</w:t>
      </w:r>
      <w:hyperlink r:id="rId8" w:history="1">
        <w:r>
          <w:rPr>
            <w:rStyle w:val="Hyperlink"/>
          </w:rPr>
          <w:t>www.scaap.org</w:t>
        </w:r>
      </w:hyperlink>
      <w:r>
        <w:t>) as needed or reach to me (</w:t>
      </w:r>
      <w:hyperlink r:id="rId9" w:history="1">
        <w:r>
          <w:rPr>
            <w:rStyle w:val="Hyperlink"/>
          </w:rPr>
          <w:t>robertsaul@me.com</w:t>
        </w:r>
      </w:hyperlink>
      <w:r>
        <w:t>) with questions.  Please help us recruit new members and/or bring former members back into the fold.  Membership is our lifeblood!</w:t>
      </w:r>
    </w:p>
    <w:p w14:paraId="555FD2E3" w14:textId="77777777" w:rsidR="00052952" w:rsidRDefault="00052952" w:rsidP="00052952">
      <w:r>
        <w:t> </w:t>
      </w:r>
    </w:p>
    <w:p w14:paraId="582A3677" w14:textId="77777777" w:rsidR="00052952" w:rsidRDefault="00052952" w:rsidP="00052952">
      <w:pPr>
        <w:rPr>
          <w:b/>
          <w:bCs/>
          <w:u w:val="single"/>
        </w:rPr>
      </w:pPr>
      <w:r>
        <w:rPr>
          <w:b/>
          <w:bCs/>
          <w:u w:val="single"/>
        </w:rPr>
        <w:t>SCAAP Advocacy Action Network</w:t>
      </w:r>
    </w:p>
    <w:p w14:paraId="66785190" w14:textId="77777777" w:rsidR="00052952" w:rsidRDefault="00052952" w:rsidP="00052952">
      <w:pPr>
        <w:rPr>
          <w:color w:val="000000"/>
        </w:rPr>
      </w:pPr>
      <w:r>
        <w:rPr>
          <w:color w:val="000000"/>
        </w:rPr>
        <w:t>The SCAAP is excited to introduce the SCAAP Advocacy Action Network. Modeled after the AAP’s Federal Advocacy Action Network, the SCAAP Advocacy Action Network will allow you to engage your state legislators with ease in a manner that best suits your needs—all while</w:t>
      </w:r>
      <w:r>
        <w:t xml:space="preserve"> </w:t>
      </w:r>
      <w:r>
        <w:rPr>
          <w:color w:val="000000"/>
        </w:rPr>
        <w:t>ensuring we have a unified pediatric voice speaking for our children and their families. With your support and engagement, we aim to enhance our advocacy work to improve the health of all children in our state.</w:t>
      </w:r>
    </w:p>
    <w:p w14:paraId="30DDF574" w14:textId="77777777" w:rsidR="00052952" w:rsidRDefault="00052952" w:rsidP="00052952">
      <w:pPr>
        <w:rPr>
          <w:color w:val="000000"/>
        </w:rPr>
      </w:pPr>
    </w:p>
    <w:p w14:paraId="4E1E2B72" w14:textId="77777777" w:rsidR="00052952" w:rsidRDefault="00052952" w:rsidP="00052952">
      <w:pPr>
        <w:rPr>
          <w:color w:val="000000"/>
        </w:rPr>
      </w:pPr>
      <w:r>
        <w:rPr>
          <w:color w:val="000000"/>
        </w:rPr>
        <w:t>The Advocacy Action Network allows for multichannel action (e-mail, phone call, Twitter, Facebook, in-person meeting, letter to the editor/op-eds, testifying, etc.), supports numerous initiatives simultaneously, notifies users when bills of interest are introduced, and supplies</w:t>
      </w:r>
      <w:r>
        <w:t xml:space="preserve"> </w:t>
      </w:r>
      <w:r>
        <w:rPr>
          <w:color w:val="000000"/>
        </w:rPr>
        <w:t>voter engagement information, to name a few features. Follow the link to contact your legislators about our current Advocacy Action Items (</w:t>
      </w:r>
      <w:hyperlink r:id="rId10" w:history="1">
        <w:r>
          <w:rPr>
            <w:rStyle w:val="Hyperlink"/>
          </w:rPr>
          <w:t>www.scaap.org/advocacy</w:t>
        </w:r>
      </w:hyperlink>
      <w:r>
        <w:rPr>
          <w:color w:val="000000"/>
        </w:rPr>
        <w:t xml:space="preserve">):  </w:t>
      </w:r>
    </w:p>
    <w:p w14:paraId="7675991D" w14:textId="77777777" w:rsidR="00052952" w:rsidRDefault="00052952" w:rsidP="00052952">
      <w:pPr>
        <w:pStyle w:val="ListParagraph"/>
        <w:numPr>
          <w:ilvl w:val="0"/>
          <w:numId w:val="1"/>
        </w:numPr>
        <w:rPr>
          <w:rFonts w:eastAsia="Times New Roman"/>
          <w:color w:val="000000"/>
          <w:sz w:val="22"/>
          <w:szCs w:val="22"/>
        </w:rPr>
      </w:pPr>
      <w:r>
        <w:rPr>
          <w:rFonts w:eastAsia="Times New Roman"/>
          <w:color w:val="000000"/>
          <w:sz w:val="22"/>
          <w:szCs w:val="22"/>
        </w:rPr>
        <w:t xml:space="preserve">Support Local Tobacco Control Policies (Bills </w:t>
      </w:r>
      <w:hyperlink r:id="rId11" w:history="1">
        <w:r>
          <w:rPr>
            <w:rStyle w:val="Hyperlink"/>
            <w:rFonts w:eastAsia="Times New Roman"/>
            <w:sz w:val="22"/>
            <w:szCs w:val="22"/>
          </w:rPr>
          <w:t>S. 498</w:t>
        </w:r>
      </w:hyperlink>
      <w:r>
        <w:rPr>
          <w:rFonts w:eastAsia="Times New Roman"/>
          <w:color w:val="000000"/>
          <w:sz w:val="22"/>
          <w:szCs w:val="22"/>
        </w:rPr>
        <w:t>/</w:t>
      </w:r>
      <w:hyperlink r:id="rId12" w:history="1">
        <w:r>
          <w:rPr>
            <w:rStyle w:val="Hyperlink"/>
            <w:rFonts w:eastAsia="Times New Roman"/>
            <w:sz w:val="22"/>
            <w:szCs w:val="22"/>
          </w:rPr>
          <w:t>H. 3681</w:t>
        </w:r>
      </w:hyperlink>
      <w:r>
        <w:rPr>
          <w:rFonts w:eastAsia="Times New Roman"/>
          <w:color w:val="000000"/>
          <w:sz w:val="22"/>
          <w:szCs w:val="22"/>
        </w:rPr>
        <w:t>)</w:t>
      </w:r>
    </w:p>
    <w:p w14:paraId="187FF289" w14:textId="77777777" w:rsidR="00052952" w:rsidRDefault="00052952" w:rsidP="00052952">
      <w:pPr>
        <w:pStyle w:val="ListParagraph"/>
        <w:numPr>
          <w:ilvl w:val="0"/>
          <w:numId w:val="1"/>
        </w:numPr>
        <w:rPr>
          <w:rStyle w:val="apple-converted-space"/>
        </w:rPr>
      </w:pPr>
      <w:r>
        <w:rPr>
          <w:rFonts w:eastAsia="Times New Roman"/>
          <w:color w:val="000000"/>
          <w:sz w:val="22"/>
          <w:szCs w:val="22"/>
        </w:rPr>
        <w:t xml:space="preserve">Support Higher Education and Professional Licensure for DACA Recipients (Bills </w:t>
      </w:r>
      <w:hyperlink r:id="rId13" w:history="1">
        <w:r>
          <w:rPr>
            <w:rStyle w:val="Hyperlink"/>
            <w:rFonts w:eastAsia="Times New Roman"/>
            <w:color w:val="1400FF"/>
            <w:sz w:val="22"/>
            <w:szCs w:val="22"/>
          </w:rPr>
          <w:t>S. 24</w:t>
        </w:r>
      </w:hyperlink>
      <w:r>
        <w:rPr>
          <w:rFonts w:eastAsia="Times New Roman"/>
          <w:color w:val="000000"/>
          <w:sz w:val="22"/>
          <w:szCs w:val="22"/>
          <w:shd w:val="clear" w:color="auto" w:fill="FFFFFF"/>
        </w:rPr>
        <w:t>/</w:t>
      </w:r>
      <w:hyperlink r:id="rId14" w:history="1">
        <w:r>
          <w:rPr>
            <w:rStyle w:val="Hyperlink"/>
            <w:rFonts w:eastAsia="Times New Roman"/>
            <w:color w:val="1400FF"/>
            <w:sz w:val="22"/>
            <w:szCs w:val="22"/>
          </w:rPr>
          <w:t>H. 3243</w:t>
        </w:r>
      </w:hyperlink>
      <w:r>
        <w:rPr>
          <w:rStyle w:val="apple-converted-space"/>
          <w:rFonts w:eastAsia="Times New Roman"/>
          <w:color w:val="000000"/>
          <w:sz w:val="22"/>
          <w:szCs w:val="22"/>
          <w:shd w:val="clear" w:color="auto" w:fill="FFFFFF"/>
        </w:rPr>
        <w:t>)</w:t>
      </w:r>
    </w:p>
    <w:p w14:paraId="7F883520" w14:textId="77777777" w:rsidR="00052952" w:rsidRDefault="00052952" w:rsidP="00052952">
      <w:r>
        <w:rPr>
          <w:color w:val="000000"/>
        </w:rPr>
        <w:br/>
        <w:t xml:space="preserve">We welcome any feedback and requests for new Advocacy Action Items can be submitted via this online form: </w:t>
      </w:r>
      <w:hyperlink r:id="rId15" w:history="1">
        <w:r>
          <w:rPr>
            <w:rStyle w:val="Hyperlink"/>
          </w:rPr>
          <w:t>https://forms.gle/Q99oTwhagdqzVoa89</w:t>
        </w:r>
      </w:hyperlink>
      <w:r>
        <w:rPr>
          <w:color w:val="000000"/>
        </w:rPr>
        <w:t xml:space="preserve">. </w:t>
      </w:r>
    </w:p>
    <w:p w14:paraId="276B1825" w14:textId="77777777" w:rsidR="00052952" w:rsidRDefault="00052952" w:rsidP="00052952">
      <w:pPr>
        <w:rPr>
          <w:color w:val="000000"/>
        </w:rPr>
      </w:pPr>
    </w:p>
    <w:p w14:paraId="5289FF4F" w14:textId="77777777" w:rsidR="00052952" w:rsidRDefault="00052952" w:rsidP="00052952">
      <w:pPr>
        <w:rPr>
          <w:b/>
          <w:bCs/>
          <w:u w:val="single"/>
        </w:rPr>
      </w:pPr>
      <w:proofErr w:type="spellStart"/>
      <w:r>
        <w:rPr>
          <w:b/>
          <w:bCs/>
          <w:u w:val="single"/>
        </w:rPr>
        <w:t>BabyNet</w:t>
      </w:r>
      <w:proofErr w:type="spellEnd"/>
      <w:r>
        <w:rPr>
          <w:b/>
          <w:bCs/>
          <w:u w:val="single"/>
        </w:rPr>
        <w:t xml:space="preserve"> Upgrade</w:t>
      </w:r>
    </w:p>
    <w:p w14:paraId="13145890" w14:textId="77777777" w:rsidR="00052952" w:rsidRDefault="00052952" w:rsidP="00052952">
      <w:pPr>
        <w:pStyle w:val="NormalWeb"/>
        <w:shd w:val="clear" w:color="auto" w:fill="FFFFFF"/>
        <w:spacing w:before="0" w:beforeAutospacing="0" w:after="0" w:afterAutospacing="0"/>
        <w:rPr>
          <w:color w:val="201F1E"/>
        </w:rPr>
      </w:pPr>
      <w:r>
        <w:rPr>
          <w:color w:val="201F1E"/>
          <w:shd w:val="clear" w:color="auto" w:fill="FFFFFF"/>
        </w:rPr>
        <w:t xml:space="preserve">Jennifer Buster from SCDHHS met with the Pediatric Advisory Committee at one of our past meetings to discuss </w:t>
      </w:r>
      <w:proofErr w:type="spellStart"/>
      <w:r>
        <w:rPr>
          <w:color w:val="201F1E"/>
          <w:shd w:val="clear" w:color="auto" w:fill="FFFFFF"/>
        </w:rPr>
        <w:t>BabyNet</w:t>
      </w:r>
      <w:proofErr w:type="spellEnd"/>
      <w:r>
        <w:rPr>
          <w:color w:val="201F1E"/>
          <w:shd w:val="clear" w:color="auto" w:fill="FFFFFF"/>
        </w:rPr>
        <w:t xml:space="preserve"> referrals.  As a result of your feedback, changes made to the professional online referral form.  The following notice was sent out earlier today to th</w:t>
      </w:r>
      <w:r>
        <w:rPr>
          <w:color w:val="000000"/>
          <w:shd w:val="clear" w:color="auto" w:fill="FFFFFF"/>
        </w:rPr>
        <w:t xml:space="preserve">e </w:t>
      </w:r>
      <w:proofErr w:type="spellStart"/>
      <w:r>
        <w:rPr>
          <w:color w:val="201F1E"/>
          <w:shd w:val="clear" w:color="auto" w:fill="FFFFFF"/>
        </w:rPr>
        <w:t>BabyNet</w:t>
      </w:r>
      <w:proofErr w:type="spellEnd"/>
      <w:r>
        <w:rPr>
          <w:color w:val="201F1E"/>
          <w:shd w:val="clear" w:color="auto" w:fill="FFFFFF"/>
        </w:rPr>
        <w:t xml:space="preserve"> community.</w:t>
      </w:r>
    </w:p>
    <w:p w14:paraId="0E963E25" w14:textId="77777777" w:rsidR="00052952" w:rsidRDefault="00052952" w:rsidP="00052952">
      <w:pPr>
        <w:pStyle w:val="NormalWeb"/>
        <w:shd w:val="clear" w:color="auto" w:fill="FFFFFF"/>
        <w:spacing w:before="0" w:beforeAutospacing="0" w:after="0" w:afterAutospacing="0"/>
        <w:rPr>
          <w:color w:val="201F1E"/>
        </w:rPr>
      </w:pPr>
    </w:p>
    <w:p w14:paraId="34DABCE7" w14:textId="77777777" w:rsidR="00052952" w:rsidRDefault="00052952" w:rsidP="00052952">
      <w:pPr>
        <w:pStyle w:val="NormalWeb"/>
        <w:shd w:val="clear" w:color="auto" w:fill="FFFFFF"/>
        <w:spacing w:before="0" w:beforeAutospacing="0" w:after="0" w:afterAutospacing="0"/>
        <w:rPr>
          <w:color w:val="201F1E"/>
        </w:rPr>
      </w:pPr>
      <w:r>
        <w:rPr>
          <w:i/>
          <w:iCs/>
          <w:color w:val="201F1E"/>
          <w:shd w:val="clear" w:color="auto" w:fill="FFFFFF"/>
        </w:rPr>
        <w:t xml:space="preserve">Upgrades have been made to the </w:t>
      </w:r>
      <w:proofErr w:type="spellStart"/>
      <w:r>
        <w:rPr>
          <w:i/>
          <w:iCs/>
          <w:color w:val="201F1E"/>
          <w:shd w:val="clear" w:color="auto" w:fill="FFFFFF"/>
        </w:rPr>
        <w:t>BabyNet</w:t>
      </w:r>
      <w:proofErr w:type="spellEnd"/>
      <w:r>
        <w:rPr>
          <w:i/>
          <w:iCs/>
          <w:color w:val="201F1E"/>
          <w:shd w:val="clear" w:color="auto" w:fill="FFFFFF"/>
        </w:rPr>
        <w:t xml:space="preserve"> Online Referral portal.  Users should no longer receive error messages when attempting to submit referrals.  Also, </w:t>
      </w:r>
      <w:proofErr w:type="spellStart"/>
      <w:r>
        <w:rPr>
          <w:i/>
          <w:iCs/>
          <w:color w:val="201F1E"/>
          <w:shd w:val="clear" w:color="auto" w:fill="FFFFFF"/>
        </w:rPr>
        <w:t>BabyNet</w:t>
      </w:r>
      <w:proofErr w:type="spellEnd"/>
      <w:r>
        <w:rPr>
          <w:i/>
          <w:iCs/>
          <w:color w:val="201F1E"/>
          <w:shd w:val="clear" w:color="auto" w:fill="FFFFFF"/>
        </w:rPr>
        <w:t xml:space="preserve"> has revised both the professional and parent forms based on referral source feedback.  Users will notice that both forms have been revised to collect more concise information. </w:t>
      </w:r>
    </w:p>
    <w:p w14:paraId="468DAAE1" w14:textId="77777777" w:rsidR="00052952" w:rsidRDefault="00052952" w:rsidP="00052952">
      <w:pPr>
        <w:pStyle w:val="NormalWeb"/>
        <w:shd w:val="clear" w:color="auto" w:fill="FFFFFF"/>
        <w:spacing w:before="0" w:beforeAutospacing="0" w:after="0" w:afterAutospacing="0"/>
        <w:rPr>
          <w:color w:val="201F1E"/>
        </w:rPr>
      </w:pPr>
      <w:r>
        <w:rPr>
          <w:i/>
          <w:iCs/>
          <w:color w:val="201F1E"/>
          <w:shd w:val="clear" w:color="auto" w:fill="FFFFFF"/>
        </w:rPr>
        <w:t> </w:t>
      </w:r>
    </w:p>
    <w:p w14:paraId="43E16616" w14:textId="77777777" w:rsidR="00052952" w:rsidRDefault="00052952" w:rsidP="00052952">
      <w:pPr>
        <w:pStyle w:val="NormalWeb"/>
        <w:shd w:val="clear" w:color="auto" w:fill="FFFFFF"/>
        <w:spacing w:before="0" w:beforeAutospacing="0" w:after="0" w:afterAutospacing="0"/>
        <w:rPr>
          <w:color w:val="201F1E"/>
        </w:rPr>
      </w:pPr>
      <w:r>
        <w:rPr>
          <w:i/>
          <w:iCs/>
          <w:color w:val="201F1E"/>
          <w:shd w:val="clear" w:color="auto" w:fill="FFFFFF"/>
        </w:rPr>
        <w:t xml:space="preserve">To make a referral to </w:t>
      </w:r>
      <w:proofErr w:type="spellStart"/>
      <w:r>
        <w:rPr>
          <w:i/>
          <w:iCs/>
          <w:color w:val="201F1E"/>
          <w:shd w:val="clear" w:color="auto" w:fill="FFFFFF"/>
        </w:rPr>
        <w:t>BabyNet</w:t>
      </w:r>
      <w:proofErr w:type="spellEnd"/>
      <w:r>
        <w:rPr>
          <w:i/>
          <w:iCs/>
          <w:color w:val="201F1E"/>
          <w:shd w:val="clear" w:color="auto" w:fill="FFFFFF"/>
        </w:rPr>
        <w:t>:</w:t>
      </w:r>
    </w:p>
    <w:p w14:paraId="3916267F" w14:textId="77777777" w:rsidR="00052952" w:rsidRDefault="00052952" w:rsidP="00052952">
      <w:pPr>
        <w:numPr>
          <w:ilvl w:val="0"/>
          <w:numId w:val="2"/>
        </w:numPr>
        <w:shd w:val="clear" w:color="auto" w:fill="FFFFFF"/>
        <w:rPr>
          <w:rFonts w:eastAsia="Times New Roman"/>
          <w:color w:val="201F1E"/>
        </w:rPr>
      </w:pPr>
      <w:r>
        <w:rPr>
          <w:rFonts w:eastAsia="Times New Roman"/>
          <w:i/>
          <w:iCs/>
          <w:color w:val="201F1E"/>
          <w:shd w:val="clear" w:color="auto" w:fill="FFFFFF"/>
        </w:rPr>
        <w:lastRenderedPageBreak/>
        <w:t>Visit </w:t>
      </w:r>
      <w:hyperlink r:id="rId16" w:tgtFrame="_blank" w:history="1">
        <w:r>
          <w:rPr>
            <w:rStyle w:val="Hyperlink"/>
            <w:rFonts w:eastAsia="Times New Roman"/>
            <w:i/>
            <w:iCs/>
            <w:shd w:val="clear" w:color="auto" w:fill="FFFFFF"/>
          </w:rPr>
          <w:t>https://babynet.scdhhs.gov/</w:t>
        </w:r>
      </w:hyperlink>
      <w:r>
        <w:rPr>
          <w:rFonts w:eastAsia="Times New Roman"/>
          <w:i/>
          <w:iCs/>
          <w:color w:val="201F1E"/>
          <w:shd w:val="clear" w:color="auto" w:fill="FFFFFF"/>
        </w:rPr>
        <w:t> to access the online referral portal, or</w:t>
      </w:r>
    </w:p>
    <w:p w14:paraId="21CF9B13" w14:textId="77777777" w:rsidR="00052952" w:rsidRDefault="00052952" w:rsidP="00052952">
      <w:pPr>
        <w:numPr>
          <w:ilvl w:val="0"/>
          <w:numId w:val="2"/>
        </w:numPr>
        <w:shd w:val="clear" w:color="auto" w:fill="FFFFFF"/>
        <w:rPr>
          <w:rFonts w:eastAsia="Times New Roman"/>
          <w:color w:val="201F1E"/>
        </w:rPr>
      </w:pPr>
      <w:r>
        <w:rPr>
          <w:rFonts w:eastAsia="Times New Roman"/>
          <w:i/>
          <w:iCs/>
          <w:color w:val="201F1E"/>
          <w:shd w:val="clear" w:color="auto" w:fill="FFFFFF"/>
        </w:rPr>
        <w:t>Call 1-866-512-8881 to speak with a Central Referral Team member.</w:t>
      </w:r>
    </w:p>
    <w:p w14:paraId="347CDF93" w14:textId="77777777" w:rsidR="00052952" w:rsidRDefault="00052952" w:rsidP="00052952">
      <w:pPr>
        <w:pStyle w:val="NormalWeb"/>
        <w:shd w:val="clear" w:color="auto" w:fill="FFFFFF"/>
        <w:spacing w:before="0" w:beforeAutospacing="0" w:after="0" w:afterAutospacing="0"/>
        <w:rPr>
          <w:color w:val="201F1E"/>
        </w:rPr>
      </w:pPr>
      <w:r>
        <w:rPr>
          <w:i/>
          <w:iCs/>
          <w:color w:val="201F1E"/>
          <w:shd w:val="clear" w:color="auto" w:fill="FFFFFF"/>
        </w:rPr>
        <w:t> </w:t>
      </w:r>
    </w:p>
    <w:p w14:paraId="3599E2AB" w14:textId="77777777" w:rsidR="00052952" w:rsidRDefault="00052952" w:rsidP="00052952">
      <w:pPr>
        <w:pStyle w:val="NormalWeb"/>
        <w:shd w:val="clear" w:color="auto" w:fill="FFFFFF"/>
        <w:spacing w:before="0" w:beforeAutospacing="0" w:after="0" w:afterAutospacing="0"/>
        <w:rPr>
          <w:color w:val="201F1E"/>
        </w:rPr>
      </w:pPr>
      <w:r>
        <w:rPr>
          <w:i/>
          <w:iCs/>
          <w:color w:val="201F1E"/>
          <w:shd w:val="clear" w:color="auto" w:fill="FFFFFF"/>
        </w:rPr>
        <w:t>Please feel free to forward this message to local referral sources.</w:t>
      </w:r>
    </w:p>
    <w:p w14:paraId="6B9992E9" w14:textId="77777777" w:rsidR="00052952" w:rsidRDefault="00052952" w:rsidP="00052952">
      <w:pPr>
        <w:pStyle w:val="NormalWeb"/>
        <w:shd w:val="clear" w:color="auto" w:fill="FFFFFF"/>
        <w:spacing w:before="0" w:beforeAutospacing="0" w:after="0" w:afterAutospacing="0"/>
        <w:rPr>
          <w:color w:val="201F1E"/>
        </w:rPr>
      </w:pPr>
      <w:r>
        <w:rPr>
          <w:color w:val="201F1E"/>
          <w:shd w:val="clear" w:color="auto" w:fill="FFFFFF"/>
        </w:rPr>
        <w:t> </w:t>
      </w:r>
    </w:p>
    <w:p w14:paraId="7DA5D7D9" w14:textId="77777777" w:rsidR="00052952" w:rsidRDefault="00052952" w:rsidP="00052952">
      <w:pPr>
        <w:pStyle w:val="NormalWeb"/>
        <w:shd w:val="clear" w:color="auto" w:fill="FFFFFF"/>
        <w:spacing w:before="0" w:beforeAutospacing="0" w:after="0" w:afterAutospacing="0"/>
        <w:rPr>
          <w:color w:val="201F1E"/>
        </w:rPr>
      </w:pPr>
      <w:r>
        <w:rPr>
          <w:color w:val="201F1E"/>
          <w:shd w:val="clear" w:color="auto" w:fill="FFFFFF"/>
        </w:rPr>
        <w:t>Thank you for all you do for the children of South Carolina!</w:t>
      </w:r>
    </w:p>
    <w:p w14:paraId="5E568C8D" w14:textId="77777777" w:rsidR="00052952" w:rsidRDefault="00052952" w:rsidP="00052952">
      <w:pPr>
        <w:rPr>
          <w:color w:val="000000"/>
          <w:sz w:val="24"/>
          <w:szCs w:val="24"/>
        </w:rPr>
      </w:pPr>
    </w:p>
    <w:p w14:paraId="395AECA4" w14:textId="77777777" w:rsidR="00052952" w:rsidRDefault="00052952" w:rsidP="00052952">
      <w:pPr>
        <w:pStyle w:val="NormalWeb"/>
        <w:shd w:val="clear" w:color="auto" w:fill="FFFFFF"/>
        <w:spacing w:before="0" w:beforeAutospacing="0" w:after="0" w:afterAutospacing="0"/>
        <w:rPr>
          <w:rFonts w:ascii="Arial" w:hAnsi="Arial" w:cs="Arial"/>
          <w:color w:val="919191"/>
          <w:sz w:val="20"/>
          <w:szCs w:val="20"/>
        </w:rPr>
      </w:pPr>
      <w:r>
        <w:rPr>
          <w:rStyle w:val="Strong"/>
          <w:rFonts w:ascii="Arial" w:hAnsi="Arial" w:cs="Arial"/>
          <w:color w:val="919191"/>
          <w:sz w:val="20"/>
          <w:szCs w:val="20"/>
        </w:rPr>
        <w:t>Fran C. Boone</w:t>
      </w:r>
    </w:p>
    <w:p w14:paraId="70352D3C" w14:textId="77777777" w:rsidR="00052952" w:rsidRDefault="00052952" w:rsidP="00052952">
      <w:pPr>
        <w:pStyle w:val="NormalWeb"/>
        <w:shd w:val="clear" w:color="auto" w:fill="FFFFFF"/>
        <w:spacing w:before="0" w:beforeAutospacing="0" w:after="0" w:afterAutospacing="0"/>
        <w:rPr>
          <w:rFonts w:ascii="Arial" w:hAnsi="Arial" w:cs="Arial"/>
          <w:color w:val="919191"/>
          <w:sz w:val="20"/>
          <w:szCs w:val="20"/>
        </w:rPr>
      </w:pPr>
      <w:r>
        <w:rPr>
          <w:rStyle w:val="Strong"/>
          <w:rFonts w:ascii="Arial" w:hAnsi="Arial" w:cs="Arial"/>
          <w:color w:val="919191"/>
          <w:sz w:val="20"/>
          <w:szCs w:val="20"/>
        </w:rPr>
        <w:t>Division of Children's Health and Perinatal Services</w:t>
      </w:r>
    </w:p>
    <w:p w14:paraId="431558F3" w14:textId="77777777" w:rsidR="00052952" w:rsidRDefault="00052952" w:rsidP="00052952">
      <w:pPr>
        <w:pStyle w:val="NormalWeb"/>
        <w:shd w:val="clear" w:color="auto" w:fill="FFFFFF"/>
        <w:spacing w:before="0" w:beforeAutospacing="0" w:after="0" w:afterAutospacing="0"/>
        <w:rPr>
          <w:rFonts w:ascii="Arial" w:hAnsi="Arial" w:cs="Arial"/>
          <w:color w:val="919191"/>
          <w:sz w:val="20"/>
          <w:szCs w:val="20"/>
        </w:rPr>
      </w:pPr>
      <w:r>
        <w:rPr>
          <w:rStyle w:val="Strong"/>
          <w:rFonts w:ascii="Arial" w:hAnsi="Arial" w:cs="Arial"/>
          <w:color w:val="919191"/>
          <w:sz w:val="20"/>
          <w:szCs w:val="20"/>
        </w:rPr>
        <w:t>S.C. Dept. of Health &amp; Environmental Control</w:t>
      </w:r>
    </w:p>
    <w:p w14:paraId="25022963" w14:textId="77777777" w:rsidR="00052952" w:rsidRDefault="00052952" w:rsidP="00052952">
      <w:pPr>
        <w:pStyle w:val="NormalWeb"/>
        <w:shd w:val="clear" w:color="auto" w:fill="FFFFFF"/>
        <w:spacing w:before="0" w:beforeAutospacing="0" w:after="0" w:afterAutospacing="0"/>
        <w:rPr>
          <w:rFonts w:ascii="Arial" w:hAnsi="Arial" w:cs="Arial"/>
          <w:color w:val="919191"/>
          <w:sz w:val="20"/>
          <w:szCs w:val="20"/>
        </w:rPr>
      </w:pPr>
      <w:r>
        <w:rPr>
          <w:rStyle w:val="Strong"/>
          <w:rFonts w:ascii="Arial" w:hAnsi="Arial" w:cs="Arial"/>
          <w:color w:val="919191"/>
          <w:sz w:val="20"/>
          <w:szCs w:val="20"/>
        </w:rPr>
        <w:t>2100 Bull Street</w:t>
      </w:r>
    </w:p>
    <w:p w14:paraId="5EFA7CE6" w14:textId="77777777" w:rsidR="00052952" w:rsidRDefault="00052952" w:rsidP="00052952">
      <w:pPr>
        <w:pStyle w:val="NormalWeb"/>
        <w:shd w:val="clear" w:color="auto" w:fill="FFFFFF"/>
        <w:spacing w:before="0" w:beforeAutospacing="0" w:after="0" w:afterAutospacing="0"/>
        <w:rPr>
          <w:rFonts w:ascii="Arial" w:hAnsi="Arial" w:cs="Arial"/>
          <w:color w:val="919191"/>
          <w:sz w:val="20"/>
          <w:szCs w:val="20"/>
        </w:rPr>
      </w:pPr>
      <w:r>
        <w:rPr>
          <w:rStyle w:val="Strong"/>
          <w:rFonts w:ascii="Arial" w:hAnsi="Arial" w:cs="Arial"/>
          <w:color w:val="919191"/>
          <w:sz w:val="20"/>
          <w:szCs w:val="20"/>
        </w:rPr>
        <w:t>Columbia, SC  29201</w:t>
      </w:r>
      <w:r>
        <w:rPr>
          <w:rFonts w:ascii="Arial" w:hAnsi="Arial" w:cs="Arial"/>
          <w:b/>
          <w:bCs/>
          <w:color w:val="919191"/>
          <w:sz w:val="20"/>
          <w:szCs w:val="20"/>
        </w:rPr>
        <w:br/>
      </w:r>
      <w:r>
        <w:rPr>
          <w:rFonts w:ascii="Arial" w:hAnsi="Arial" w:cs="Arial"/>
          <w:color w:val="919191"/>
          <w:sz w:val="20"/>
          <w:szCs w:val="20"/>
        </w:rPr>
        <w:t>Office: (803) 898-0735</w:t>
      </w:r>
      <w:r>
        <w:rPr>
          <w:rFonts w:ascii="Arial" w:hAnsi="Arial" w:cs="Arial"/>
          <w:color w:val="919191"/>
          <w:sz w:val="20"/>
          <w:szCs w:val="20"/>
        </w:rPr>
        <w:br/>
        <w:t>Fax: (803) 898-0577</w:t>
      </w:r>
      <w:r>
        <w:rPr>
          <w:rFonts w:ascii="Arial" w:hAnsi="Arial" w:cs="Arial"/>
          <w:color w:val="919191"/>
          <w:sz w:val="20"/>
          <w:szCs w:val="20"/>
        </w:rPr>
        <w:br/>
        <w:t>Connect: </w:t>
      </w:r>
      <w:hyperlink r:id="rId17" w:tgtFrame="_blank" w:history="1">
        <w:r>
          <w:rPr>
            <w:rStyle w:val="Hyperlink"/>
            <w:rFonts w:ascii="Arial" w:hAnsi="Arial" w:cs="Arial"/>
            <w:sz w:val="20"/>
            <w:szCs w:val="20"/>
          </w:rPr>
          <w:t>www.scdhec.gov</w:t>
        </w:r>
      </w:hyperlink>
      <w:r>
        <w:rPr>
          <w:rFonts w:ascii="Arial" w:hAnsi="Arial" w:cs="Arial"/>
          <w:color w:val="919191"/>
          <w:sz w:val="20"/>
          <w:szCs w:val="20"/>
        </w:rPr>
        <w:t>  </w:t>
      </w:r>
      <w:hyperlink r:id="rId18" w:tgtFrame="_blank" w:history="1">
        <w:r>
          <w:rPr>
            <w:rStyle w:val="Hyperlink"/>
            <w:rFonts w:ascii="Arial" w:hAnsi="Arial" w:cs="Arial"/>
            <w:sz w:val="20"/>
            <w:szCs w:val="20"/>
          </w:rPr>
          <w:t>Facebook</w:t>
        </w:r>
      </w:hyperlink>
      <w:r>
        <w:rPr>
          <w:rFonts w:ascii="Arial" w:hAnsi="Arial" w:cs="Arial"/>
          <w:color w:val="919191"/>
          <w:sz w:val="20"/>
          <w:szCs w:val="20"/>
        </w:rPr>
        <w:t>  </w:t>
      </w:r>
      <w:hyperlink r:id="rId19" w:tgtFrame="_blank" w:history="1">
        <w:r>
          <w:rPr>
            <w:rStyle w:val="Hyperlink"/>
            <w:rFonts w:ascii="Arial" w:hAnsi="Arial" w:cs="Arial"/>
            <w:sz w:val="20"/>
            <w:szCs w:val="20"/>
          </w:rPr>
          <w:t>Twitter</w:t>
        </w:r>
      </w:hyperlink>
    </w:p>
    <w:p w14:paraId="4A967DC3" w14:textId="21558BB3" w:rsidR="00052952" w:rsidRDefault="00052952" w:rsidP="00052952">
      <w:pPr>
        <w:pStyle w:val="NormalWeb"/>
        <w:shd w:val="clear" w:color="auto" w:fill="FFFFFF"/>
        <w:spacing w:before="0" w:beforeAutospacing="0" w:after="0" w:afterAutospacing="0"/>
        <w:rPr>
          <w:rFonts w:ascii="Arial" w:hAnsi="Arial" w:cs="Arial"/>
          <w:color w:val="919191"/>
          <w:sz w:val="20"/>
          <w:szCs w:val="20"/>
        </w:rPr>
      </w:pPr>
      <w:r>
        <w:rPr>
          <w:rFonts w:ascii="Arial" w:hAnsi="Arial" w:cs="Arial"/>
          <w:noProof/>
          <w:color w:val="919191"/>
          <w:sz w:val="20"/>
          <w:szCs w:val="20"/>
        </w:rPr>
        <w:drawing>
          <wp:inline distT="0" distB="0" distL="0" distR="0" wp14:anchorId="3D7A7BDF" wp14:editId="1CA5D7D3">
            <wp:extent cx="1714500" cy="752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752475"/>
                    </a:xfrm>
                    <a:prstGeom prst="rect">
                      <a:avLst/>
                    </a:prstGeom>
                    <a:noFill/>
                    <a:ln>
                      <a:noFill/>
                    </a:ln>
                  </pic:spPr>
                </pic:pic>
              </a:graphicData>
            </a:graphic>
          </wp:inline>
        </w:drawing>
      </w:r>
    </w:p>
    <w:p w14:paraId="0A638580" w14:textId="77777777" w:rsidR="00052952" w:rsidRDefault="00052952" w:rsidP="00052952"/>
    <w:p w14:paraId="270522F1" w14:textId="77777777" w:rsidR="00052952" w:rsidRDefault="00052952" w:rsidP="00052952">
      <w:pPr>
        <w:rPr>
          <w:rFonts w:ascii="Times New Roman" w:hAnsi="Times New Roman" w:cs="Times New Roman"/>
          <w:color w:val="000000"/>
          <w:sz w:val="24"/>
          <w:szCs w:val="24"/>
          <w:u w:val="single"/>
        </w:rPr>
      </w:pPr>
    </w:p>
    <w:p w14:paraId="0B1A4E2C" w14:textId="77777777" w:rsidR="00052952" w:rsidRDefault="00052952" w:rsidP="00052952">
      <w:pPr>
        <w:shd w:val="clear" w:color="auto" w:fill="FFFFFF"/>
        <w:spacing w:before="180" w:after="240"/>
        <w:rPr>
          <w:b/>
          <w:bCs/>
          <w:color w:val="000000"/>
          <w:u w:val="single"/>
        </w:rPr>
      </w:pPr>
      <w:r>
        <w:rPr>
          <w:b/>
          <w:bCs/>
          <w:color w:val="000000"/>
          <w:u w:val="single"/>
        </w:rPr>
        <w:t>Hollings Cancer Center Celebrates Rise in HPV Vaccination Rates</w:t>
      </w:r>
    </w:p>
    <w:p w14:paraId="0B35A091" w14:textId="77777777" w:rsidR="00052952" w:rsidRDefault="00052952" w:rsidP="00052952">
      <w:pPr>
        <w:pStyle w:val="NormalWeb"/>
        <w:spacing w:before="0" w:beforeAutospacing="0" w:after="0" w:afterAutospacing="0"/>
        <w:textAlignment w:val="baseline"/>
        <w:rPr>
          <w:rFonts w:ascii="Times New Roman" w:hAnsi="Times New Roman" w:cs="Times New Roman"/>
          <w:color w:val="000000"/>
          <w:sz w:val="24"/>
          <w:szCs w:val="24"/>
        </w:rPr>
      </w:pPr>
      <w:r>
        <w:rPr>
          <w:color w:val="000000"/>
        </w:rPr>
        <w:t>Early detection of cancer can mean all the difference in patients’ outcomes. Even better is preventing the cancer altogether.</w:t>
      </w:r>
    </w:p>
    <w:p w14:paraId="235D7F18" w14:textId="77777777" w:rsidR="00052952" w:rsidRDefault="00052952" w:rsidP="00052952">
      <w:pPr>
        <w:pStyle w:val="NormalWeb"/>
        <w:spacing w:before="0" w:beforeAutospacing="0" w:after="0" w:afterAutospacing="0"/>
        <w:textAlignment w:val="baseline"/>
        <w:rPr>
          <w:color w:val="000000"/>
        </w:rPr>
      </w:pPr>
    </w:p>
    <w:p w14:paraId="54E179D5" w14:textId="77777777" w:rsidR="00052952" w:rsidRDefault="00052952" w:rsidP="00052952">
      <w:pPr>
        <w:pStyle w:val="NormalWeb"/>
        <w:spacing w:before="0" w:beforeAutospacing="0" w:after="0" w:afterAutospacing="0"/>
        <w:textAlignment w:val="baseline"/>
        <w:rPr>
          <w:color w:val="000000"/>
        </w:rPr>
      </w:pPr>
      <w:r>
        <w:rPr>
          <w:color w:val="000000"/>
        </w:rPr>
        <w:t>That’s why researchers and clinicians supporting </w:t>
      </w:r>
      <w:bookmarkStart w:id="0" w:name="_Hlk51849966"/>
      <w:r>
        <w:fldChar w:fldCharType="begin"/>
      </w:r>
      <w:r>
        <w:instrText xml:space="preserve"> HYPERLINK "https://muschealth.org/patients-visitors/news/2019/06/19/innovative-strategies-raising-states-hpv-vaccination-rates" \o "MUSC Health News Center" </w:instrText>
      </w:r>
      <w:r>
        <w:fldChar w:fldCharType="separate"/>
      </w:r>
      <w:r>
        <w:rPr>
          <w:rStyle w:val="Hyperlink"/>
          <w:color w:val="2200CC"/>
          <w:bdr w:val="none" w:sz="0" w:space="0" w:color="auto" w:frame="1"/>
        </w:rPr>
        <w:t>MUSC Hollings Cancer Center’s HPV Initiative</w:t>
      </w:r>
      <w:r>
        <w:fldChar w:fldCharType="end"/>
      </w:r>
      <w:bookmarkEnd w:id="0"/>
      <w:r>
        <w:rPr>
          <w:color w:val="000000"/>
        </w:rPr>
        <w:t xml:space="preserve"> were thrilled to see the latest vaccination rates that were just published in August 2020 based on  the 2019 </w:t>
      </w:r>
      <w:hyperlink r:id="rId21" w:tooltip="CDC website. You are being directed to a website outside of MUSC. MUSC is not responsible for any content or other aspects of the external website." w:history="1">
        <w:r>
          <w:rPr>
            <w:rStyle w:val="Hyperlink"/>
            <w:color w:val="2200CC"/>
            <w:bdr w:val="none" w:sz="0" w:space="0" w:color="auto" w:frame="1"/>
          </w:rPr>
          <w:t>NIS-Teen adolescent vaccination survey</w:t>
        </w:r>
      </w:hyperlink>
      <w:r>
        <w:rPr>
          <w:color w:val="000000"/>
        </w:rPr>
        <w:t>. This is the primary survey used to monitor</w:t>
      </w:r>
      <w:r>
        <w:t xml:space="preserve"> </w:t>
      </w:r>
      <w:r>
        <w:rPr>
          <w:color w:val="000000"/>
        </w:rPr>
        <w:t>adolescent HPV, or human papillomavirus, vaccination rates in the nation. For the first time, South Carolina’s rates are on par with the overall national rates.</w:t>
      </w:r>
    </w:p>
    <w:p w14:paraId="690BD078" w14:textId="77777777" w:rsidR="00052952" w:rsidRDefault="00052952" w:rsidP="00052952">
      <w:pPr>
        <w:rPr>
          <w:rFonts w:ascii="Times New Roman" w:hAnsi="Times New Roman" w:cs="Times New Roman"/>
          <w:color w:val="000000"/>
          <w:sz w:val="24"/>
          <w:szCs w:val="24"/>
        </w:rPr>
      </w:pPr>
    </w:p>
    <w:p w14:paraId="0549819C" w14:textId="77777777" w:rsidR="00052952" w:rsidRDefault="00052952" w:rsidP="00052952">
      <w:pPr>
        <w:rPr>
          <w:color w:val="000000"/>
          <w:u w:val="single"/>
        </w:rPr>
      </w:pPr>
      <w:r>
        <w:rPr>
          <w:color w:val="000000"/>
          <w:u w:val="single"/>
        </w:rPr>
        <w:t>Helping Kids</w:t>
      </w:r>
    </w:p>
    <w:p w14:paraId="6FFDF45E" w14:textId="77777777" w:rsidR="00052952" w:rsidRDefault="00052952" w:rsidP="00052952">
      <w:pPr>
        <w:rPr>
          <w:color w:val="000000"/>
        </w:rPr>
      </w:pPr>
      <w:r>
        <w:rPr>
          <w:color w:val="000000"/>
        </w:rPr>
        <w:t>MUSC Health pediatrician </w:t>
      </w:r>
      <w:hyperlink r:id="rId22" w:tooltip="Provider profile of Dr. Roberts" w:history="1">
        <w:r>
          <w:rPr>
            <w:rStyle w:val="Hyperlink"/>
            <w:color w:val="2200CC"/>
            <w:bdr w:val="none" w:sz="0" w:space="0" w:color="auto" w:frame="1"/>
          </w:rPr>
          <w:t>James R. Roberts, M.D.</w:t>
        </w:r>
      </w:hyperlink>
      <w:r>
        <w:rPr>
          <w:color w:val="000000"/>
        </w:rPr>
        <w:t>, said the rise in rates reflects the past three years of concerted effort by statewide partners and members of the South Carolina chapter of the AAP (SC AAP) to educate parents and health providers as well as a focus</w:t>
      </w:r>
      <w:r>
        <w:t xml:space="preserve"> </w:t>
      </w:r>
      <w:r>
        <w:rPr>
          <w:color w:val="000000"/>
        </w:rPr>
        <w:t>on integrating preventive care into their practices. “This is where the immunizations happen, in the health care provider’s office — the medical home. It’s important that the medical home is strong and intact, as otherwise we have a fragmented health care system.” The rise in rates also reflects efforts to begin the immunization series at an earlier age. The HPV vaccine</w:t>
      </w:r>
      <w:r>
        <w:t xml:space="preserve"> can be started as early as 9 and improves the chances of becoming “series complete” at the 11-year-old well visit, and that if the series is started after 15, three doses are needed.</w:t>
      </w:r>
    </w:p>
    <w:p w14:paraId="7C94AAEA" w14:textId="77777777" w:rsidR="00052952" w:rsidRDefault="00052952" w:rsidP="00052952">
      <w:pPr>
        <w:rPr>
          <w:rFonts w:ascii="Times New Roman" w:hAnsi="Times New Roman" w:cs="Times New Roman"/>
          <w:color w:val="000000"/>
          <w:sz w:val="24"/>
          <w:szCs w:val="24"/>
        </w:rPr>
      </w:pPr>
    </w:p>
    <w:p w14:paraId="6E6DBB15" w14:textId="77777777" w:rsidR="00052952" w:rsidRDefault="00052952" w:rsidP="00052952">
      <w:pPr>
        <w:rPr>
          <w:color w:val="000000"/>
          <w:u w:val="single"/>
        </w:rPr>
      </w:pPr>
      <w:r>
        <w:rPr>
          <w:color w:val="000000"/>
          <w:u w:val="single"/>
        </w:rPr>
        <w:t>Innovative Approaches</w:t>
      </w:r>
    </w:p>
    <w:p w14:paraId="02AEFA03" w14:textId="77777777" w:rsidR="00052952" w:rsidRDefault="00052952" w:rsidP="00052952">
      <w:pPr>
        <w:rPr>
          <w:color w:val="000000"/>
        </w:rPr>
      </w:pPr>
      <w:r>
        <w:rPr>
          <w:color w:val="000000"/>
        </w:rPr>
        <w:t xml:space="preserve">Tactics the groups are using include social media and digital campaigns, educational events with providers and school nurses and targeted programs within health systems. Dr. Kathleen </w:t>
      </w:r>
      <w:proofErr w:type="spellStart"/>
      <w:r>
        <w:rPr>
          <w:color w:val="000000"/>
        </w:rPr>
        <w:t>Cartmell</w:t>
      </w:r>
      <w:proofErr w:type="spellEnd"/>
      <w:r>
        <w:rPr>
          <w:color w:val="000000"/>
        </w:rPr>
        <w:t xml:space="preserve">, PhD, a Hollings Cancer Center </w:t>
      </w:r>
      <w:proofErr w:type="gramStart"/>
      <w:r>
        <w:rPr>
          <w:color w:val="000000"/>
        </w:rPr>
        <w:t>researcher</w:t>
      </w:r>
      <w:proofErr w:type="gramEnd"/>
      <w:r>
        <w:rPr>
          <w:color w:val="000000"/>
        </w:rPr>
        <w:t xml:space="preserve"> and associate professor in Clemson University’s Department of Public Health Sciences, said it has to be a multifaceted approach, and they are studying what tactics are the most successful to leverage resources more effectively.</w:t>
      </w:r>
    </w:p>
    <w:p w14:paraId="0DB9EF6D" w14:textId="77777777" w:rsidR="00052952" w:rsidRDefault="00052952" w:rsidP="00052952">
      <w:pPr>
        <w:rPr>
          <w:rFonts w:ascii="Times New Roman" w:hAnsi="Times New Roman" w:cs="Times New Roman"/>
          <w:color w:val="000000"/>
          <w:sz w:val="24"/>
          <w:szCs w:val="24"/>
        </w:rPr>
      </w:pPr>
    </w:p>
    <w:p w14:paraId="3122F421" w14:textId="77777777" w:rsidR="00052952" w:rsidRDefault="00052952" w:rsidP="00052952">
      <w:pPr>
        <w:rPr>
          <w:shd w:val="clear" w:color="auto" w:fill="FFFFFF"/>
        </w:rPr>
      </w:pPr>
      <w:r>
        <w:rPr>
          <w:color w:val="000000"/>
        </w:rPr>
        <w:t xml:space="preserve">The MUSC Hollings Cancer Center’s HPV Initiative provides additional expertise, </w:t>
      </w:r>
      <w:proofErr w:type="gramStart"/>
      <w:r>
        <w:rPr>
          <w:color w:val="000000"/>
        </w:rPr>
        <w:t>resources</w:t>
      </w:r>
      <w:proofErr w:type="gramEnd"/>
      <w:r>
        <w:rPr>
          <w:color w:val="000000"/>
        </w:rPr>
        <w:t xml:space="preserve"> and a Quality Improvement (QI) Collaborative among four of South Carolina’s Health Systems. Resources provided were mini grants awarded to Mcleod Health, MUSC,</w:t>
      </w:r>
      <w:r>
        <w:t xml:space="preserve"> </w:t>
      </w:r>
      <w:r>
        <w:rPr>
          <w:color w:val="000000"/>
        </w:rPr>
        <w:t xml:space="preserve">Prisma Health and Spartanburg Regional to implement regional HPV vaccination interventions. The physician champions of this initiative are Dr. Thomas </w:t>
      </w:r>
      <w:proofErr w:type="spellStart"/>
      <w:r>
        <w:rPr>
          <w:color w:val="000000"/>
          <w:shd w:val="clear" w:color="auto" w:fill="FFFFFF"/>
        </w:rPr>
        <w:t>Drzymala</w:t>
      </w:r>
      <w:proofErr w:type="spellEnd"/>
      <w:r>
        <w:rPr>
          <w:color w:val="000000"/>
          <w:shd w:val="clear" w:color="auto" w:fill="FFFFFF"/>
        </w:rPr>
        <w:t xml:space="preserve"> with Mcleod Health, Dr. James R. Roberts with MUSC, Drs. George Haddad and </w:t>
      </w:r>
      <w:proofErr w:type="spellStart"/>
      <w:r>
        <w:rPr>
          <w:color w:val="000000"/>
          <w:shd w:val="clear" w:color="auto" w:fill="FFFFFF"/>
        </w:rPr>
        <w:t>Meenu</w:t>
      </w:r>
      <w:proofErr w:type="spellEnd"/>
      <w:r>
        <w:rPr>
          <w:color w:val="000000"/>
          <w:shd w:val="clear" w:color="auto" w:fill="FFFFFF"/>
        </w:rPr>
        <w:t xml:space="preserve"> Jindal with Prisma Health, and Drs. Erin Bailey and Vincent Slater with Spartanburg Regional. Each physician champion is supported by a team of nurses, office staff, QI champion and a representative from the American Cancer Society to collect HPV vaccination data from their multiple practices.</w:t>
      </w:r>
    </w:p>
    <w:p w14:paraId="24FC6411" w14:textId="77777777" w:rsidR="00052952" w:rsidRDefault="00052952" w:rsidP="00052952">
      <w:pPr>
        <w:spacing w:before="100" w:beforeAutospacing="1" w:after="100" w:afterAutospacing="1"/>
        <w:rPr>
          <w:color w:val="000000"/>
        </w:rPr>
      </w:pPr>
      <w:r>
        <w:rPr>
          <w:color w:val="000000"/>
          <w:shd w:val="clear" w:color="auto" w:fill="FFFFFF"/>
        </w:rPr>
        <w:t xml:space="preserve">Additionally, </w:t>
      </w:r>
      <w:r>
        <w:rPr>
          <w:color w:val="000000"/>
        </w:rPr>
        <w:t>to aid in communications about the statewide HPV vaccination awareness campaign, a social media toolkit is now available for use. This toolkit provides key campaign messages as well as photos and visuals that can be used to highlight the importance of vaccinating our state’s youth against HPV. The purpose of this digital toolkit is to provide sample messages that highlight the importance of vaccinating adolescent boys and girls against HPV for promotion on your organization’s social media platforms. The goal is to increase the rate of HPV vaccinations across our state by engaging both parents and health care providers.</w:t>
      </w:r>
    </w:p>
    <w:p w14:paraId="01979DFF" w14:textId="77777777" w:rsidR="00052952" w:rsidRDefault="00052952" w:rsidP="00052952">
      <w:pPr>
        <w:spacing w:before="100" w:beforeAutospacing="1" w:after="100" w:afterAutospacing="1"/>
        <w:rPr>
          <w:color w:val="000000"/>
        </w:rPr>
      </w:pPr>
      <w:r>
        <w:rPr>
          <w:color w:val="000000"/>
        </w:rPr>
        <w:t xml:space="preserve">This FREE toolkit can be shared with your organization’s social media and communications teams with your endorsement and encouragement to join in the digital conversation. If interested, please email Ashley White at </w:t>
      </w:r>
      <w:hyperlink r:id="rId23" w:history="1">
        <w:r>
          <w:rPr>
            <w:rStyle w:val="Hyperlink"/>
          </w:rPr>
          <w:t>whitashl@musc.edu</w:t>
        </w:r>
      </w:hyperlink>
      <w:r>
        <w:rPr>
          <w:color w:val="000000"/>
        </w:rPr>
        <w:t xml:space="preserve"> and she will send it to you. </w:t>
      </w:r>
    </w:p>
    <w:p w14:paraId="3094ED7E" w14:textId="77777777" w:rsidR="00052952" w:rsidRDefault="00052952" w:rsidP="00052952">
      <w:pPr>
        <w:rPr>
          <w:color w:val="000000"/>
          <w:u w:val="single"/>
          <w:lang w:val="en"/>
        </w:rPr>
      </w:pPr>
      <w:r>
        <w:rPr>
          <w:color w:val="000000"/>
          <w:u w:val="single"/>
        </w:rPr>
        <w:t>COVID-19 Impact</w:t>
      </w:r>
    </w:p>
    <w:p w14:paraId="5C67DAE8" w14:textId="77777777" w:rsidR="00052952" w:rsidRDefault="00052952" w:rsidP="00052952">
      <w:pPr>
        <w:pStyle w:val="NormalWeb"/>
        <w:spacing w:before="0" w:beforeAutospacing="0" w:after="0" w:afterAutospacing="0"/>
        <w:textAlignment w:val="baseline"/>
        <w:rPr>
          <w:color w:val="000000"/>
        </w:rPr>
      </w:pPr>
      <w:r>
        <w:rPr>
          <w:color w:val="000000"/>
        </w:rPr>
        <w:t xml:space="preserve">Drs. </w:t>
      </w:r>
      <w:proofErr w:type="spellStart"/>
      <w:r>
        <w:rPr>
          <w:color w:val="000000"/>
        </w:rPr>
        <w:t>Cartmell</w:t>
      </w:r>
      <w:proofErr w:type="spellEnd"/>
      <w:r>
        <w:rPr>
          <w:color w:val="000000"/>
        </w:rPr>
        <w:t xml:space="preserve"> and Roberts both agree that the increase in HPV vaccination seen in the 2020 report won’t reflect any slowing of HPV vaccination in 2020 that occurred due to COVID-19 since </w:t>
      </w:r>
      <w:proofErr w:type="gramStart"/>
      <w:r>
        <w:rPr>
          <w:color w:val="000000"/>
        </w:rPr>
        <w:t>the  NIS</w:t>
      </w:r>
      <w:proofErr w:type="gramEnd"/>
      <w:r>
        <w:rPr>
          <w:color w:val="000000"/>
        </w:rPr>
        <w:t>-Teen survey was done prior to the pandemic. “Hopefully, we won't lose too much ground due to COVID-19 in terms of our HPV vaccination rates.” Dr. Roberts said he understands parents’ fears and concerns about bringing their child to their health care provider’s office, particularly earlier in the summer when COVID rates were higher. As a result, the vaccination issue is critical for all age groups and not just the HPV vaccine. “Many families have not brought their child in for important vaccine series. This will result in a drop in the herd immunity to the point that we are likely to see a return of pertussis and measles. Equally concerning will be the coming flu season this fall and winter with COVID, influenza and possibly pertussis all circulating in the community, so families should definitely get a flu shot this year.”</w:t>
      </w:r>
    </w:p>
    <w:p w14:paraId="1745DD59" w14:textId="77777777" w:rsidR="00052952" w:rsidRDefault="00052952" w:rsidP="00052952">
      <w:pPr>
        <w:pStyle w:val="NormalWeb"/>
        <w:spacing w:before="0" w:beforeAutospacing="0" w:after="0" w:afterAutospacing="0"/>
        <w:textAlignment w:val="baseline"/>
        <w:rPr>
          <w:rFonts w:ascii="Times New Roman" w:hAnsi="Times New Roman" w:cs="Times New Roman"/>
          <w:color w:val="000000"/>
          <w:sz w:val="24"/>
          <w:szCs w:val="24"/>
        </w:rPr>
      </w:pPr>
    </w:p>
    <w:p w14:paraId="6E496011" w14:textId="77777777" w:rsidR="00052952" w:rsidRDefault="00052952" w:rsidP="00052952">
      <w:pPr>
        <w:pStyle w:val="NormalWeb"/>
        <w:spacing w:before="0" w:beforeAutospacing="0" w:after="0" w:afterAutospacing="0"/>
        <w:textAlignment w:val="baseline"/>
        <w:rPr>
          <w:color w:val="000000"/>
        </w:rPr>
      </w:pPr>
      <w:r>
        <w:rPr>
          <w:color w:val="000000"/>
        </w:rPr>
        <w:t xml:space="preserve">To read the full news release please go to: </w:t>
      </w:r>
    </w:p>
    <w:p w14:paraId="0FF769FC" w14:textId="77777777" w:rsidR="00052952" w:rsidRDefault="00052952" w:rsidP="00052952">
      <w:pPr>
        <w:rPr>
          <w:rFonts w:ascii="Times New Roman" w:hAnsi="Times New Roman" w:cs="Times New Roman"/>
          <w:color w:val="000000"/>
          <w:sz w:val="24"/>
          <w:szCs w:val="24"/>
          <w:u w:val="single"/>
        </w:rPr>
      </w:pPr>
      <w:hyperlink r:id="rId24" w:history="1">
        <w:r>
          <w:rPr>
            <w:rStyle w:val="Hyperlink"/>
          </w:rPr>
          <w:t>https://web.musc.edu/about/news-center/2020/09/03/hpv-vaccination-rates-rise-in-south-carolina</w:t>
        </w:r>
      </w:hyperlink>
    </w:p>
    <w:p w14:paraId="21A99B20" w14:textId="77777777" w:rsidR="00052952" w:rsidRDefault="00052952" w:rsidP="00052952">
      <w:pPr>
        <w:spacing w:before="100" w:beforeAutospacing="1" w:after="100" w:afterAutospacing="1"/>
      </w:pPr>
    </w:p>
    <w:p w14:paraId="02B0E568" w14:textId="4F066227" w:rsidR="00052952" w:rsidRDefault="00052952" w:rsidP="00052952">
      <w:pPr>
        <w:pStyle w:val="NormalWeb"/>
        <w:spacing w:before="0" w:beforeAutospacing="0" w:after="0" w:afterAutospacing="0"/>
      </w:pPr>
      <w:r>
        <w:rPr>
          <w:rFonts w:ascii="Arial" w:hAnsi="Arial" w:cs="Arial"/>
          <w:noProof/>
          <w:color w:val="000000"/>
          <w:bdr w:val="none" w:sz="0" w:space="0" w:color="auto" w:frame="1"/>
        </w:rPr>
        <w:lastRenderedPageBreak/>
        <w:drawing>
          <wp:inline distT="0" distB="0" distL="0" distR="0" wp14:anchorId="1EEEF161" wp14:editId="28E0B181">
            <wp:extent cx="5162550" cy="2390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62550" cy="2390775"/>
                    </a:xfrm>
                    <a:prstGeom prst="rect">
                      <a:avLst/>
                    </a:prstGeom>
                    <a:noFill/>
                    <a:ln>
                      <a:noFill/>
                    </a:ln>
                  </pic:spPr>
                </pic:pic>
              </a:graphicData>
            </a:graphic>
          </wp:inline>
        </w:drawing>
      </w:r>
    </w:p>
    <w:p w14:paraId="575D84E5" w14:textId="77777777" w:rsidR="00052952" w:rsidRDefault="00052952" w:rsidP="00052952">
      <w:pPr>
        <w:pStyle w:val="NormalWeb"/>
        <w:spacing w:before="0" w:beforeAutospacing="0" w:after="0" w:afterAutospacing="0"/>
      </w:pPr>
      <w:r>
        <w:rPr>
          <w:rFonts w:ascii="Arial" w:hAnsi="Arial" w:cs="Arial"/>
          <w:color w:val="000000"/>
        </w:rPr>
        <w:t>Dear South Carolina Health Professionals for Climate Action members!</w:t>
      </w:r>
    </w:p>
    <w:p w14:paraId="39C0354A" w14:textId="77777777" w:rsidR="00052952" w:rsidRDefault="00052952" w:rsidP="00052952"/>
    <w:p w14:paraId="1DC9182C" w14:textId="77777777" w:rsidR="00052952" w:rsidRDefault="00052952" w:rsidP="00052952">
      <w:pPr>
        <w:pStyle w:val="NormalWeb"/>
        <w:spacing w:before="0" w:beforeAutospacing="0" w:after="0" w:afterAutospacing="0"/>
      </w:pPr>
      <w:r>
        <w:rPr>
          <w:rFonts w:ascii="Arial" w:hAnsi="Arial" w:cs="Arial"/>
          <w:color w:val="000000"/>
        </w:rPr>
        <w:t xml:space="preserve">This is our </w:t>
      </w:r>
      <w:r>
        <w:rPr>
          <w:rFonts w:ascii="Arial" w:hAnsi="Arial" w:cs="Arial"/>
          <w:b/>
          <w:bCs/>
          <w:color w:val="000000"/>
        </w:rPr>
        <w:t>first</w:t>
      </w:r>
      <w:r>
        <w:rPr>
          <w:rFonts w:ascii="Arial" w:hAnsi="Arial" w:cs="Arial"/>
          <w:color w:val="000000"/>
        </w:rPr>
        <w:t xml:space="preserve"> monthly email blast!  You can look forward to a monthly email from us with upcoming events, ways to get involved and great educational material!</w:t>
      </w:r>
    </w:p>
    <w:p w14:paraId="46B123FB" w14:textId="77777777" w:rsidR="00052952" w:rsidRDefault="00052952" w:rsidP="00052952">
      <w:pPr>
        <w:spacing w:after="240"/>
      </w:pPr>
    </w:p>
    <w:p w14:paraId="14BE1F6A" w14:textId="77777777" w:rsidR="00052952" w:rsidRDefault="00052952" w:rsidP="00052952">
      <w:pPr>
        <w:pStyle w:val="NormalWeb"/>
        <w:spacing w:before="0" w:beforeAutospacing="0" w:after="0" w:afterAutospacing="0"/>
        <w:jc w:val="center"/>
      </w:pPr>
      <w:r>
        <w:rPr>
          <w:rFonts w:ascii="Arial" w:hAnsi="Arial" w:cs="Arial"/>
          <w:b/>
          <w:bCs/>
          <w:color w:val="000000"/>
          <w:sz w:val="28"/>
          <w:szCs w:val="28"/>
        </w:rPr>
        <w:t>Volunteer Opportunities</w:t>
      </w:r>
    </w:p>
    <w:p w14:paraId="5CC7E712" w14:textId="77777777" w:rsidR="00052952" w:rsidRDefault="00052952" w:rsidP="00052952">
      <w:pPr>
        <w:pStyle w:val="NormalWeb"/>
        <w:spacing w:before="0" w:beforeAutospacing="0" w:after="0" w:afterAutospacing="0"/>
      </w:pPr>
      <w:r>
        <w:rPr>
          <w:rFonts w:ascii="Arial" w:hAnsi="Arial" w:cs="Arial"/>
          <w:b/>
          <w:bCs/>
        </w:rPr>
        <w:t>Carolinas Heat Health Coalition</w:t>
      </w:r>
      <w:r>
        <w:rPr>
          <w:rFonts w:ascii="Arial" w:hAnsi="Arial" w:cs="Arial"/>
        </w:rPr>
        <w:t xml:space="preserve">: A coalition that brings together a diversity of organizations and individuals from different sectors in NC and SC to share knowledge about and develop ways to improve heat-health awareness, heat warning systems, and heat-illness prevention measures.  Members include representatives from agriculture, athletics, community planning, health and human services, the Department of Labor, DoD, and parks and recreation, among others.  </w:t>
      </w:r>
      <w:r>
        <w:rPr>
          <w:rFonts w:ascii="Arial" w:hAnsi="Arial" w:cs="Arial"/>
          <w:b/>
          <w:bCs/>
        </w:rPr>
        <w:t xml:space="preserve">They are looking for a representative from SC Health Professionals for Climate Action.  If you are interested, please email </w:t>
      </w:r>
      <w:hyperlink r:id="rId26" w:tgtFrame="_blank" w:history="1">
        <w:r>
          <w:rPr>
            <w:rStyle w:val="Hyperlink"/>
            <w:rFonts w:ascii="Arial" w:hAnsi="Arial" w:cs="Arial"/>
            <w:b/>
            <w:bCs/>
          </w:rPr>
          <w:t>info@schealthclimate.org</w:t>
        </w:r>
      </w:hyperlink>
      <w:r>
        <w:rPr>
          <w:rFonts w:ascii="Arial" w:hAnsi="Arial" w:cs="Arial"/>
          <w:b/>
          <w:bCs/>
        </w:rPr>
        <w:t xml:space="preserve"> and we will connect you with the organization and get you more information.</w:t>
      </w:r>
    </w:p>
    <w:p w14:paraId="7BF874E7" w14:textId="77777777" w:rsidR="00052952" w:rsidRDefault="00052952" w:rsidP="00052952"/>
    <w:p w14:paraId="05A9BA2F" w14:textId="77777777" w:rsidR="00052952" w:rsidRDefault="00052952" w:rsidP="00052952">
      <w:pPr>
        <w:pStyle w:val="NormalWeb"/>
        <w:spacing w:before="0" w:beforeAutospacing="0" w:after="0" w:afterAutospacing="0"/>
      </w:pPr>
      <w:r>
        <w:rPr>
          <w:rFonts w:ascii="Arial" w:hAnsi="Arial" w:cs="Arial"/>
          <w:b/>
          <w:bCs/>
        </w:rPr>
        <w:t xml:space="preserve">SC Energy Office: </w:t>
      </w:r>
      <w:r>
        <w:rPr>
          <w:rFonts w:ascii="Arial" w:hAnsi="Arial" w:cs="Arial"/>
        </w:rPr>
        <w:t xml:space="preserve">The SC Energy Office is embarking on an </w:t>
      </w:r>
      <w:r>
        <w:rPr>
          <w:rFonts w:ascii="Arial" w:hAnsi="Arial" w:cs="Arial"/>
          <w:b/>
          <w:bCs/>
        </w:rPr>
        <w:t xml:space="preserve">Electric Vehicle Stakeholder Initiative.  </w:t>
      </w:r>
      <w:r>
        <w:rPr>
          <w:rFonts w:ascii="Arial" w:hAnsi="Arial" w:cs="Arial"/>
        </w:rPr>
        <w:t xml:space="preserve">They are looking for a representative from SC Health Professionals for Climate Action.  The stakeholder group meets twice a year with the possibility that a working group could meet monthly.  </w:t>
      </w:r>
      <w:r>
        <w:rPr>
          <w:rFonts w:ascii="Arial" w:hAnsi="Arial" w:cs="Arial"/>
          <w:b/>
          <w:bCs/>
        </w:rPr>
        <w:t xml:space="preserve"> If you are interested, please email </w:t>
      </w:r>
      <w:hyperlink r:id="rId27" w:tgtFrame="_blank" w:history="1">
        <w:r>
          <w:rPr>
            <w:rStyle w:val="Hyperlink"/>
            <w:rFonts w:ascii="Arial" w:hAnsi="Arial" w:cs="Arial"/>
            <w:b/>
            <w:bCs/>
          </w:rPr>
          <w:t>info@schealthclimate.org</w:t>
        </w:r>
      </w:hyperlink>
      <w:r>
        <w:rPr>
          <w:rFonts w:ascii="Arial" w:hAnsi="Arial" w:cs="Arial"/>
          <w:b/>
          <w:bCs/>
        </w:rPr>
        <w:t xml:space="preserve"> and we will connect you with the organization and get you more information.</w:t>
      </w:r>
    </w:p>
    <w:p w14:paraId="5B583EB7" w14:textId="77777777" w:rsidR="00052952" w:rsidRDefault="00052952" w:rsidP="00052952">
      <w:pPr>
        <w:spacing w:after="240"/>
      </w:pPr>
    </w:p>
    <w:p w14:paraId="636AE1AC" w14:textId="77777777" w:rsidR="00052952" w:rsidRDefault="00052952" w:rsidP="00052952">
      <w:pPr>
        <w:pStyle w:val="NormalWeb"/>
        <w:spacing w:before="0" w:beforeAutospacing="0" w:after="0" w:afterAutospacing="0"/>
        <w:jc w:val="center"/>
      </w:pPr>
      <w:r>
        <w:rPr>
          <w:rFonts w:ascii="Arial" w:hAnsi="Arial" w:cs="Arial"/>
          <w:b/>
          <w:bCs/>
          <w:sz w:val="28"/>
          <w:szCs w:val="28"/>
        </w:rPr>
        <w:t>Educational Opportunities</w:t>
      </w:r>
    </w:p>
    <w:p w14:paraId="1660729B" w14:textId="77777777" w:rsidR="00052952" w:rsidRDefault="00052952" w:rsidP="00052952"/>
    <w:p w14:paraId="0D196619" w14:textId="3787D8E2" w:rsidR="00052952" w:rsidRDefault="00052952" w:rsidP="00052952">
      <w:pPr>
        <w:pStyle w:val="NormalWeb"/>
        <w:spacing w:before="0" w:beforeAutospacing="0" w:after="0" w:afterAutospacing="0"/>
        <w:jc w:val="center"/>
      </w:pPr>
      <w:r>
        <w:rPr>
          <w:rFonts w:ascii="Arial" w:hAnsi="Arial" w:cs="Arial"/>
          <w:b/>
          <w:bCs/>
          <w:noProof/>
          <w:bdr w:val="none" w:sz="0" w:space="0" w:color="auto" w:frame="1"/>
        </w:rPr>
        <w:lastRenderedPageBreak/>
        <w:drawing>
          <wp:inline distT="0" distB="0" distL="0" distR="0" wp14:anchorId="4FAEE822" wp14:editId="0919A2D1">
            <wp:extent cx="2152650" cy="173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2650" cy="1733550"/>
                    </a:xfrm>
                    <a:prstGeom prst="rect">
                      <a:avLst/>
                    </a:prstGeom>
                    <a:noFill/>
                    <a:ln>
                      <a:noFill/>
                    </a:ln>
                  </pic:spPr>
                </pic:pic>
              </a:graphicData>
            </a:graphic>
          </wp:inline>
        </w:drawing>
      </w:r>
    </w:p>
    <w:p w14:paraId="226E92FE" w14:textId="77777777" w:rsidR="00052952" w:rsidRDefault="00052952" w:rsidP="00052952">
      <w:pPr>
        <w:pStyle w:val="NormalWeb"/>
        <w:spacing w:before="0" w:beforeAutospacing="0" w:after="0" w:afterAutospacing="0"/>
      </w:pPr>
      <w:r>
        <w:rPr>
          <w:rFonts w:ascii="Arial" w:hAnsi="Arial" w:cs="Arial"/>
        </w:rPr>
        <w:t>Virginia Clinicians for Climate Action offer a monthly webinar about climate and health.  Sign up here to join live!  Their website also has recordings of past webinars here.  CME credit is available for attending the webinars.</w:t>
      </w:r>
      <w:r>
        <w:rPr>
          <w:rFonts w:ascii="Arial" w:hAnsi="Arial" w:cs="Arial"/>
          <w:b/>
          <w:bCs/>
        </w:rPr>
        <w:t xml:space="preserve">  </w:t>
      </w:r>
      <w:hyperlink r:id="rId29" w:tgtFrame="_blank" w:history="1">
        <w:r>
          <w:rPr>
            <w:rStyle w:val="Hyperlink"/>
            <w:rFonts w:ascii="Arial" w:hAnsi="Arial" w:cs="Arial"/>
            <w:b/>
            <w:bCs/>
          </w:rPr>
          <w:t>Click here for more information.</w:t>
        </w:r>
      </w:hyperlink>
    </w:p>
    <w:p w14:paraId="0709DFD0" w14:textId="77777777" w:rsidR="00052952" w:rsidRDefault="00052952" w:rsidP="00052952"/>
    <w:p w14:paraId="20DBD142" w14:textId="77777777" w:rsidR="00052952" w:rsidRDefault="00052952" w:rsidP="00052952">
      <w:pPr>
        <w:pStyle w:val="NormalWeb"/>
        <w:spacing w:before="0" w:beforeAutospacing="0" w:after="0" w:afterAutospacing="0"/>
      </w:pPr>
      <w:r>
        <w:rPr>
          <w:rFonts w:ascii="Arial" w:hAnsi="Arial" w:cs="Arial"/>
          <w:b/>
          <w:bCs/>
        </w:rPr>
        <w:t>Upcoming Webinar</w:t>
      </w:r>
    </w:p>
    <w:p w14:paraId="2BF78846" w14:textId="77777777" w:rsidR="00052952" w:rsidRDefault="00052952" w:rsidP="00052952">
      <w:pPr>
        <w:pStyle w:val="Heading2"/>
        <w:spacing w:before="0" w:beforeAutospacing="0" w:after="0" w:afterAutospacing="0"/>
        <w:rPr>
          <w:rFonts w:eastAsia="Times New Roman"/>
        </w:rPr>
      </w:pPr>
      <w:hyperlink r:id="rId30" w:tgtFrame="_blank" w:history="1">
        <w:r>
          <w:rPr>
            <w:rStyle w:val="Hyperlink"/>
            <w:rFonts w:ascii="Arial" w:eastAsia="Times New Roman" w:hAnsi="Arial" w:cs="Arial"/>
            <w:sz w:val="22"/>
            <w:szCs w:val="22"/>
          </w:rPr>
          <w:t>Medication Disposal: Starting the Conversation</w:t>
        </w:r>
      </w:hyperlink>
    </w:p>
    <w:p w14:paraId="5233C137" w14:textId="77777777" w:rsidR="00052952" w:rsidRDefault="00052952" w:rsidP="00052952">
      <w:pPr>
        <w:pStyle w:val="Heading2"/>
        <w:spacing w:before="0" w:beforeAutospacing="0" w:after="0" w:afterAutospacing="0"/>
        <w:rPr>
          <w:rFonts w:eastAsia="Times New Roman"/>
        </w:rPr>
      </w:pPr>
      <w:r>
        <w:rPr>
          <w:rFonts w:ascii="Arial" w:eastAsia="Times New Roman" w:hAnsi="Arial" w:cs="Arial"/>
          <w:b w:val="0"/>
          <w:bCs w:val="0"/>
          <w:sz w:val="21"/>
          <w:szCs w:val="21"/>
        </w:rPr>
        <w:t>Sustainable Pharmacy Project</w:t>
      </w:r>
    </w:p>
    <w:p w14:paraId="26884861" w14:textId="77777777" w:rsidR="00052952" w:rsidRDefault="00052952" w:rsidP="00052952">
      <w:pPr>
        <w:pStyle w:val="NormalWeb"/>
        <w:spacing w:before="0" w:beforeAutospacing="0" w:after="0" w:afterAutospacing="0"/>
      </w:pPr>
      <w:r>
        <w:rPr>
          <w:rFonts w:ascii="Arial" w:hAnsi="Arial" w:cs="Arial"/>
          <w:sz w:val="21"/>
          <w:szCs w:val="21"/>
        </w:rPr>
        <w:t>Thursday, February 18th, 2021 12:30-1:30pm (ET)</w:t>
      </w:r>
    </w:p>
    <w:p w14:paraId="554D6C35" w14:textId="77777777" w:rsidR="00052952" w:rsidRDefault="00052952" w:rsidP="00052952">
      <w:pPr>
        <w:pStyle w:val="NormalWeb"/>
        <w:spacing w:before="0" w:beforeAutospacing="0" w:after="220" w:afterAutospacing="0"/>
        <w:jc w:val="center"/>
      </w:pPr>
      <w:r>
        <w:rPr>
          <w:rFonts w:ascii="Arial" w:hAnsi="Arial" w:cs="Arial"/>
          <w:sz w:val="21"/>
          <w:szCs w:val="21"/>
        </w:rPr>
        <w:t>Join VCCA for a presentation from Sustainable Pharmacy Project to learn about how research into medication disposal practices has highlighted key areas of improvement in the effort of reducing the impact of pharmaceuticals on the environment. Lack of patient education on proper disposal and ineffective advertising of disposal services have contributed to a major question mark in what happens after the medication leaves the pharmacy. Through awareness, it allows us to create a new conversation between patients and providers.</w:t>
      </w:r>
    </w:p>
    <w:p w14:paraId="163D0539" w14:textId="77777777" w:rsidR="00052952" w:rsidRDefault="00052952" w:rsidP="00052952"/>
    <w:p w14:paraId="3DFE18A0" w14:textId="1FEAE918" w:rsidR="00052952" w:rsidRDefault="00052952" w:rsidP="00052952">
      <w:pPr>
        <w:pStyle w:val="NormalWeb"/>
        <w:spacing w:before="0" w:beforeAutospacing="0" w:after="220" w:afterAutospacing="0"/>
        <w:jc w:val="center"/>
      </w:pPr>
      <w:r>
        <w:rPr>
          <w:rFonts w:ascii="Arial" w:hAnsi="Arial" w:cs="Arial"/>
          <w:b/>
          <w:bCs/>
          <w:noProof/>
          <w:bdr w:val="none" w:sz="0" w:space="0" w:color="auto" w:frame="1"/>
        </w:rPr>
        <w:drawing>
          <wp:inline distT="0" distB="0" distL="0" distR="0" wp14:anchorId="040C4EA6" wp14:editId="28B76D5A">
            <wp:extent cx="21717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71700" cy="885825"/>
                    </a:xfrm>
                    <a:prstGeom prst="rect">
                      <a:avLst/>
                    </a:prstGeom>
                    <a:noFill/>
                    <a:ln>
                      <a:noFill/>
                    </a:ln>
                  </pic:spPr>
                </pic:pic>
              </a:graphicData>
            </a:graphic>
          </wp:inline>
        </w:drawing>
      </w:r>
    </w:p>
    <w:p w14:paraId="58037F73" w14:textId="77777777" w:rsidR="00052952" w:rsidRDefault="00052952" w:rsidP="00052952">
      <w:pPr>
        <w:pStyle w:val="NormalWeb"/>
        <w:spacing w:before="0" w:beforeAutospacing="0" w:after="220" w:afterAutospacing="0"/>
      </w:pPr>
      <w:hyperlink r:id="rId32" w:tgtFrame="_blank" w:history="1">
        <w:r>
          <w:rPr>
            <w:rStyle w:val="Hyperlink"/>
            <w:rFonts w:ascii="Arial" w:hAnsi="Arial" w:cs="Arial"/>
          </w:rPr>
          <w:t>SC Interfaith Power &amp; Light</w:t>
        </w:r>
      </w:hyperlink>
      <w:r>
        <w:rPr>
          <w:rFonts w:ascii="Arial" w:hAnsi="Arial" w:cs="Arial"/>
          <w:color w:val="000000"/>
        </w:rPr>
        <w:t>: Educating and engaging people of faith to work together for a just and sustainable future.  SCIPL offers programs and resources for advocacy, action, energy conservation, education, networking, and worship.</w:t>
      </w:r>
    </w:p>
    <w:p w14:paraId="193D4A01" w14:textId="77777777" w:rsidR="00052952" w:rsidRDefault="00052952" w:rsidP="00052952">
      <w:pPr>
        <w:pStyle w:val="NormalWeb"/>
        <w:spacing w:before="0" w:beforeAutospacing="0" w:after="220" w:afterAutospacing="0"/>
      </w:pPr>
      <w:r>
        <w:rPr>
          <w:rFonts w:ascii="Arial" w:hAnsi="Arial" w:cs="Arial"/>
          <w:b/>
          <w:bCs/>
        </w:rPr>
        <w:t>SC Interfaith Power &amp; Light</w:t>
      </w:r>
      <w:r>
        <w:rPr>
          <w:rFonts w:ascii="Arial" w:hAnsi="Arial" w:cs="Arial"/>
        </w:rPr>
        <w:t xml:space="preserve"> and </w:t>
      </w:r>
      <w:r>
        <w:rPr>
          <w:rFonts w:ascii="Arial" w:hAnsi="Arial" w:cs="Arial"/>
          <w:b/>
          <w:bCs/>
        </w:rPr>
        <w:t>SC Health Professionals for Climate Action</w:t>
      </w:r>
      <w:r>
        <w:rPr>
          <w:rFonts w:ascii="Arial" w:hAnsi="Arial" w:cs="Arial"/>
        </w:rPr>
        <w:t xml:space="preserve"> are teaming up for a </w:t>
      </w:r>
      <w:proofErr w:type="gramStart"/>
      <w:r>
        <w:rPr>
          <w:rFonts w:ascii="Arial" w:hAnsi="Arial" w:cs="Arial"/>
        </w:rPr>
        <w:t>6 part</w:t>
      </w:r>
      <w:proofErr w:type="gramEnd"/>
      <w:r>
        <w:rPr>
          <w:rFonts w:ascii="Arial" w:hAnsi="Arial" w:cs="Arial"/>
        </w:rPr>
        <w:t xml:space="preserve"> webinar series on climate and health!   SCIPL’s target audience is the faith community so we will ground the talks in an understanding of stewardship and care for all people.  </w:t>
      </w:r>
      <w:r>
        <w:rPr>
          <w:rFonts w:ascii="Arial" w:hAnsi="Arial" w:cs="Arial"/>
          <w:b/>
          <w:bCs/>
        </w:rPr>
        <w:t>The kick-off event is February 23rd at 6:30 pm</w:t>
      </w:r>
      <w:r>
        <w:rPr>
          <w:rFonts w:ascii="Arial" w:hAnsi="Arial" w:cs="Arial"/>
        </w:rPr>
        <w:t xml:space="preserve">.   </w:t>
      </w:r>
      <w:hyperlink r:id="rId33" w:tgtFrame="_blank" w:history="1">
        <w:r>
          <w:rPr>
            <w:rStyle w:val="Hyperlink"/>
            <w:rFonts w:ascii="Arial" w:hAnsi="Arial" w:cs="Arial"/>
          </w:rPr>
          <w:t>Register here</w:t>
        </w:r>
      </w:hyperlink>
      <w:r>
        <w:rPr>
          <w:rFonts w:ascii="Arial" w:hAnsi="Arial" w:cs="Arial"/>
        </w:rPr>
        <w:t>.  After registering, you will receive a confirmation email containing information about joining the meeting.</w:t>
      </w:r>
    </w:p>
    <w:p w14:paraId="5F4CB911" w14:textId="77777777" w:rsidR="00052952" w:rsidRDefault="00052952" w:rsidP="00052952">
      <w:pPr>
        <w:pStyle w:val="NormalWeb"/>
        <w:spacing w:before="0" w:beforeAutospacing="0" w:after="220" w:afterAutospacing="0"/>
      </w:pPr>
      <w:r>
        <w:rPr>
          <w:rFonts w:ascii="Arial" w:hAnsi="Arial" w:cs="Arial"/>
          <w:b/>
          <w:bCs/>
        </w:rPr>
        <w:t>2021 Carolinas Climate Resilience Conference </w:t>
      </w:r>
    </w:p>
    <w:p w14:paraId="1D649D91" w14:textId="77777777" w:rsidR="00052952" w:rsidRDefault="00052952" w:rsidP="00052952">
      <w:pPr>
        <w:pStyle w:val="NormalWeb"/>
        <w:spacing w:before="0" w:beforeAutospacing="0" w:after="0" w:afterAutospacing="0"/>
      </w:pPr>
      <w:r>
        <w:rPr>
          <w:rFonts w:ascii="Arial" w:hAnsi="Arial" w:cs="Arial"/>
        </w:rPr>
        <w:t>Carolinas Integrated Sciences &amp; Assessments team conducts applied research in NC and SC that incorporates climate information into water, health and coastal management and decision making.</w:t>
      </w:r>
    </w:p>
    <w:p w14:paraId="37FD75BB" w14:textId="77777777" w:rsidR="00052952" w:rsidRDefault="00052952" w:rsidP="00052952">
      <w:pPr>
        <w:pStyle w:val="NormalWeb"/>
        <w:spacing w:before="0" w:beforeAutospacing="0" w:after="0" w:afterAutospacing="0"/>
      </w:pPr>
      <w:r>
        <w:rPr>
          <w:rFonts w:ascii="Arial" w:hAnsi="Arial" w:cs="Arial"/>
          <w:b/>
          <w:bCs/>
        </w:rPr>
        <w:t>SAVE THE DATE: May 10-12</w:t>
      </w:r>
    </w:p>
    <w:p w14:paraId="119A474D" w14:textId="77777777" w:rsidR="00052952" w:rsidRDefault="00052952" w:rsidP="00052952">
      <w:pPr>
        <w:pStyle w:val="NormalWeb"/>
        <w:spacing w:before="0" w:beforeAutospacing="0" w:after="0" w:afterAutospacing="0"/>
      </w:pPr>
      <w:r>
        <w:rPr>
          <w:rFonts w:ascii="Arial" w:hAnsi="Arial" w:cs="Arial"/>
          <w:b/>
          <w:bCs/>
        </w:rPr>
        <w:t>Durham Convention Center, Durham, NC</w:t>
      </w:r>
    </w:p>
    <w:p w14:paraId="66AE0992" w14:textId="77777777" w:rsidR="00052952" w:rsidRDefault="00052952" w:rsidP="00052952">
      <w:pPr>
        <w:pStyle w:val="NormalWeb"/>
        <w:spacing w:before="0" w:beforeAutospacing="0" w:after="0" w:afterAutospacing="0"/>
      </w:pPr>
      <w:r>
        <w:rPr>
          <w:rFonts w:ascii="Arial" w:hAnsi="Arial" w:cs="Arial"/>
          <w:b/>
          <w:bCs/>
        </w:rPr>
        <w:t xml:space="preserve">More information </w:t>
      </w:r>
      <w:hyperlink r:id="rId34" w:tgtFrame="_blank" w:history="1">
        <w:r>
          <w:rPr>
            <w:rStyle w:val="Hyperlink"/>
            <w:rFonts w:ascii="Arial" w:hAnsi="Arial" w:cs="Arial"/>
            <w:b/>
            <w:bCs/>
          </w:rPr>
          <w:t>here</w:t>
        </w:r>
      </w:hyperlink>
    </w:p>
    <w:p w14:paraId="3DB21382" w14:textId="77777777" w:rsidR="00052952" w:rsidRDefault="00052952" w:rsidP="00052952">
      <w:pPr>
        <w:pStyle w:val="NormalWeb"/>
        <w:spacing w:before="0" w:beforeAutospacing="0" w:after="0" w:afterAutospacing="0"/>
      </w:pPr>
    </w:p>
    <w:p w14:paraId="73A34A86" w14:textId="77777777" w:rsidR="00052952" w:rsidRDefault="00052952" w:rsidP="00052952"/>
    <w:p w14:paraId="5A6EF0E3" w14:textId="77777777" w:rsidR="00052952" w:rsidRDefault="00052952" w:rsidP="00052952">
      <w:pPr>
        <w:pStyle w:val="NormalWeb"/>
        <w:spacing w:before="0" w:beforeAutospacing="0" w:after="0" w:afterAutospacing="0"/>
        <w:jc w:val="center"/>
      </w:pPr>
      <w:r>
        <w:rPr>
          <w:rFonts w:ascii="Arial" w:hAnsi="Arial" w:cs="Arial"/>
          <w:b/>
          <w:bCs/>
          <w:sz w:val="28"/>
          <w:szCs w:val="28"/>
        </w:rPr>
        <w:t xml:space="preserve">What </w:t>
      </w:r>
      <w:proofErr w:type="gramStart"/>
      <w:r>
        <w:rPr>
          <w:rFonts w:ascii="Arial" w:hAnsi="Arial" w:cs="Arial"/>
          <w:b/>
          <w:bCs/>
          <w:sz w:val="28"/>
          <w:szCs w:val="28"/>
        </w:rPr>
        <w:t>We’re</w:t>
      </w:r>
      <w:proofErr w:type="gramEnd"/>
      <w:r>
        <w:rPr>
          <w:rFonts w:ascii="Arial" w:hAnsi="Arial" w:cs="Arial"/>
          <w:b/>
          <w:bCs/>
          <w:sz w:val="28"/>
          <w:szCs w:val="28"/>
        </w:rPr>
        <w:t xml:space="preserve"> Reading/Listening To/Watching</w:t>
      </w:r>
    </w:p>
    <w:p w14:paraId="6D1C1831" w14:textId="77777777" w:rsidR="00052952" w:rsidRDefault="00052952" w:rsidP="00052952">
      <w:pPr>
        <w:pStyle w:val="NormalWeb"/>
        <w:spacing w:before="0" w:beforeAutospacing="0" w:after="0" w:afterAutospacing="0"/>
        <w:jc w:val="center"/>
      </w:pPr>
    </w:p>
    <w:p w14:paraId="69D906EF" w14:textId="77777777" w:rsidR="00052952" w:rsidRDefault="00052952" w:rsidP="00052952">
      <w:pPr>
        <w:pStyle w:val="NormalWeb"/>
        <w:spacing w:before="0" w:beforeAutospacing="0" w:after="0" w:afterAutospacing="0"/>
      </w:pPr>
      <w:r>
        <w:rPr>
          <w:rFonts w:ascii="Arial" w:hAnsi="Arial" w:cs="Arial"/>
        </w:rPr>
        <w:t xml:space="preserve">Podcast:  </w:t>
      </w:r>
      <w:r>
        <w:rPr>
          <w:rFonts w:ascii="Arial" w:hAnsi="Arial" w:cs="Arial"/>
          <w:b/>
          <w:bCs/>
        </w:rPr>
        <w:t>The Climate Question</w:t>
      </w:r>
      <w:r>
        <w:rPr>
          <w:rFonts w:ascii="Arial" w:hAnsi="Arial" w:cs="Arial"/>
        </w:rPr>
        <w:t xml:space="preserve"> by the BBC World Service.  This is a weekly, free podcast with a new in-depth climate topic with each episode.  Recent topics have included: "Does Africa have a voice on climate?" and "How can we live with the SUV?"  Each episode is about 20 - 25 minutes long, perfect for a car ride.  </w:t>
      </w:r>
    </w:p>
    <w:p w14:paraId="45EBF7D5" w14:textId="77777777" w:rsidR="00052952" w:rsidRDefault="00052952" w:rsidP="00052952">
      <w:pPr>
        <w:pStyle w:val="NormalWeb"/>
        <w:spacing w:before="0" w:beforeAutospacing="0" w:after="0" w:afterAutospacing="0"/>
      </w:pPr>
      <w:r>
        <w:t> </w:t>
      </w:r>
    </w:p>
    <w:p w14:paraId="088F8DA2" w14:textId="77777777" w:rsidR="00052952" w:rsidRDefault="00052952" w:rsidP="00052952">
      <w:pPr>
        <w:pStyle w:val="NormalWeb"/>
        <w:spacing w:before="0" w:beforeAutospacing="0" w:after="0" w:afterAutospacing="0"/>
      </w:pPr>
      <w:r>
        <w:rPr>
          <w:rFonts w:ascii="Arial" w:hAnsi="Arial" w:cs="Arial"/>
        </w:rPr>
        <w:t xml:space="preserve">YouTube Video: </w:t>
      </w:r>
      <w:hyperlink r:id="rId35" w:tgtFrame="_blank" w:history="1">
        <w:r>
          <w:rPr>
            <w:rStyle w:val="Hyperlink"/>
            <w:rFonts w:ascii="Arial" w:hAnsi="Arial" w:cs="Arial"/>
            <w:b/>
            <w:bCs/>
          </w:rPr>
          <w:t>13 Misconceptions About Global Warming</w:t>
        </w:r>
      </w:hyperlink>
      <w:r>
        <w:rPr>
          <w:rFonts w:ascii="Arial" w:hAnsi="Arial" w:cs="Arial"/>
          <w:b/>
          <w:bCs/>
        </w:rPr>
        <w:t xml:space="preserve"> </w:t>
      </w:r>
      <w:r>
        <w:rPr>
          <w:rFonts w:ascii="Arial" w:hAnsi="Arial" w:cs="Arial"/>
        </w:rPr>
        <w:t xml:space="preserve">by </w:t>
      </w:r>
      <w:proofErr w:type="spellStart"/>
      <w:r>
        <w:rPr>
          <w:rFonts w:ascii="Arial" w:hAnsi="Arial" w:cs="Arial"/>
        </w:rPr>
        <w:t>Veritasium</w:t>
      </w:r>
      <w:proofErr w:type="spellEnd"/>
      <w:r>
        <w:rPr>
          <w:rFonts w:ascii="Arial" w:hAnsi="Arial" w:cs="Arial"/>
        </w:rPr>
        <w:t>.  A funny, engaging, fast look at the most common misconceptions about global warming.</w:t>
      </w:r>
    </w:p>
    <w:p w14:paraId="06393EDF" w14:textId="77777777" w:rsidR="00052952" w:rsidRDefault="00052952" w:rsidP="00052952">
      <w:pPr>
        <w:pStyle w:val="NormalWeb"/>
        <w:spacing w:before="0" w:beforeAutospacing="0" w:after="0" w:afterAutospacing="0"/>
      </w:pPr>
      <w:r>
        <w:t> </w:t>
      </w:r>
    </w:p>
    <w:p w14:paraId="5D2D9B45" w14:textId="77777777" w:rsidR="00052952" w:rsidRDefault="00052952" w:rsidP="00052952">
      <w:pPr>
        <w:pStyle w:val="NormalWeb"/>
        <w:spacing w:before="0" w:beforeAutospacing="0" w:after="0" w:afterAutospacing="0"/>
      </w:pPr>
      <w:r>
        <w:rPr>
          <w:rFonts w:ascii="Arial" w:hAnsi="Arial" w:cs="Arial"/>
        </w:rPr>
        <w:t>Book: The Story of More by Hope Jahren.  Really interesting read that is generally about how we consume and waste too much of everything.  Very objective with a lot of data, but still easy and fun to read.</w:t>
      </w:r>
    </w:p>
    <w:p w14:paraId="39AA90FD" w14:textId="77777777" w:rsidR="00052952" w:rsidRDefault="00052952" w:rsidP="00052952">
      <w:pPr>
        <w:pStyle w:val="NormalWeb"/>
        <w:spacing w:before="0" w:beforeAutospacing="0" w:after="0" w:afterAutospacing="0"/>
      </w:pPr>
      <w:r>
        <w:t> </w:t>
      </w:r>
    </w:p>
    <w:p w14:paraId="5F891B77" w14:textId="77777777" w:rsidR="00052952" w:rsidRDefault="00052952" w:rsidP="00052952"/>
    <w:p w14:paraId="29EF911A" w14:textId="77777777" w:rsidR="00052952" w:rsidRDefault="00052952" w:rsidP="00052952">
      <w:pPr>
        <w:pStyle w:val="NormalWeb"/>
        <w:spacing w:before="0" w:beforeAutospacing="0" w:after="0" w:afterAutospacing="0"/>
      </w:pPr>
      <w:r>
        <w:rPr>
          <w:rFonts w:ascii="Arial" w:hAnsi="Arial" w:cs="Arial"/>
          <w:b/>
          <w:bCs/>
        </w:rPr>
        <w:t xml:space="preserve">REMINDER: </w:t>
      </w:r>
      <w:r>
        <w:rPr>
          <w:rFonts w:ascii="Arial" w:hAnsi="Arial" w:cs="Arial"/>
        </w:rPr>
        <w:t>SC Health Professionals for Climate Action is an affiliate of the Medical Society Consortium on Climate and Health.  All SCHPCA members and supporters are encouraged to sign up as a medical advocate and log recent activities relating to climate and health!</w:t>
      </w:r>
    </w:p>
    <w:p w14:paraId="669E695C" w14:textId="77777777" w:rsidR="00052952" w:rsidRDefault="00052952" w:rsidP="00052952"/>
    <w:p w14:paraId="663CE33C" w14:textId="77777777" w:rsidR="00052952" w:rsidRDefault="00052952" w:rsidP="00052952">
      <w:pPr>
        <w:pStyle w:val="NormalWeb"/>
        <w:spacing w:before="0" w:beforeAutospacing="0" w:after="0" w:afterAutospacing="0"/>
      </w:pPr>
      <w:r>
        <w:rPr>
          <w:rFonts w:ascii="Arial" w:hAnsi="Arial" w:cs="Arial"/>
        </w:rPr>
        <w:t xml:space="preserve">Know of an upcoming event?  Please email us at </w:t>
      </w:r>
      <w:hyperlink r:id="rId36" w:tgtFrame="_blank" w:history="1">
        <w:r>
          <w:rPr>
            <w:rStyle w:val="Hyperlink"/>
            <w:rFonts w:ascii="Arial" w:hAnsi="Arial" w:cs="Arial"/>
          </w:rPr>
          <w:t>info@schealthclimate.org</w:t>
        </w:r>
      </w:hyperlink>
    </w:p>
    <w:p w14:paraId="48E65574" w14:textId="77777777" w:rsidR="00052952" w:rsidRDefault="00052952" w:rsidP="00052952">
      <w:r>
        <w:br/>
      </w:r>
      <w:r>
        <w:rPr>
          <w:rFonts w:ascii="Arial" w:hAnsi="Arial" w:cs="Arial"/>
        </w:rPr>
        <w:t xml:space="preserve">If you’re interested in being a part of our health professional coalition, please do not hesitate to contact us at </w:t>
      </w:r>
      <w:hyperlink r:id="rId37" w:tgtFrame="_blank" w:history="1">
        <w:r>
          <w:rPr>
            <w:rStyle w:val="Hyperlink"/>
            <w:rFonts w:ascii="Arial" w:hAnsi="Arial" w:cs="Arial"/>
          </w:rPr>
          <w:t>info@schealthclimate.org</w:t>
        </w:r>
      </w:hyperlink>
      <w:r>
        <w:rPr>
          <w:rFonts w:ascii="Arial" w:hAnsi="Arial" w:cs="Arial"/>
        </w:rPr>
        <w:t xml:space="preserve"> or visit </w:t>
      </w:r>
      <w:hyperlink r:id="rId38" w:tgtFrame="_blank" w:history="1">
        <w:r>
          <w:rPr>
            <w:rStyle w:val="Hyperlink"/>
            <w:rFonts w:ascii="Arial" w:hAnsi="Arial" w:cs="Arial"/>
          </w:rPr>
          <w:t>www.schealthclimate.org</w:t>
        </w:r>
      </w:hyperlink>
      <w:r>
        <w:rPr>
          <w:rFonts w:ascii="Arial" w:hAnsi="Arial" w:cs="Arial"/>
        </w:rPr>
        <w:t>.</w:t>
      </w:r>
      <w:r>
        <w:t>  </w:t>
      </w:r>
      <w:r>
        <w:br w:type="textWrapping" w:clear="all"/>
      </w:r>
    </w:p>
    <w:p w14:paraId="4769291E" w14:textId="77777777" w:rsidR="00052952" w:rsidRDefault="00052952" w:rsidP="00052952">
      <w:r>
        <w:t>- </w:t>
      </w:r>
    </w:p>
    <w:p w14:paraId="285B45E8" w14:textId="77777777" w:rsidR="00052952" w:rsidRDefault="00052952" w:rsidP="00052952">
      <w:r>
        <w:t>South Carolina Health Professionals for Climate Action</w:t>
      </w:r>
    </w:p>
    <w:p w14:paraId="50959F3C" w14:textId="77777777" w:rsidR="00052952" w:rsidRDefault="00052952" w:rsidP="00052952">
      <w:r>
        <w:t xml:space="preserve">E: </w:t>
      </w:r>
      <w:hyperlink r:id="rId39" w:tgtFrame="_blank" w:history="1">
        <w:r>
          <w:rPr>
            <w:rStyle w:val="Hyperlink"/>
          </w:rPr>
          <w:t>info@schealthclimate.org</w:t>
        </w:r>
      </w:hyperlink>
    </w:p>
    <w:p w14:paraId="170AA55A" w14:textId="77777777" w:rsidR="00052952" w:rsidRDefault="00052952" w:rsidP="00052952">
      <w:r>
        <w:t xml:space="preserve">W: </w:t>
      </w:r>
      <w:hyperlink r:id="rId40" w:tgtFrame="_blank" w:history="1">
        <w:r>
          <w:rPr>
            <w:rStyle w:val="Hyperlink"/>
          </w:rPr>
          <w:t>schealthclimate.org</w:t>
        </w:r>
      </w:hyperlink>
      <w:r>
        <w:t> </w:t>
      </w:r>
    </w:p>
    <w:p w14:paraId="0E763E65" w14:textId="3F8BBE3D" w:rsidR="00052952" w:rsidRDefault="00052952" w:rsidP="00052952">
      <w:r>
        <w:rPr>
          <w:noProof/>
        </w:rPr>
        <w:drawing>
          <wp:inline distT="0" distB="0" distL="0" distR="0" wp14:anchorId="6731F82A" wp14:editId="72339298">
            <wp:extent cx="190500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00" cy="866775"/>
                    </a:xfrm>
                    <a:prstGeom prst="rect">
                      <a:avLst/>
                    </a:prstGeom>
                    <a:noFill/>
                    <a:ln>
                      <a:noFill/>
                    </a:ln>
                  </pic:spPr>
                </pic:pic>
              </a:graphicData>
            </a:graphic>
          </wp:inline>
        </w:drawing>
      </w:r>
    </w:p>
    <w:p w14:paraId="69447438" w14:textId="77777777" w:rsidR="00052952" w:rsidRDefault="00052952" w:rsidP="00052952">
      <w:pPr>
        <w:rPr>
          <w:rFonts w:ascii="Times New Roman" w:hAnsi="Times New Roman" w:cs="Times New Roman"/>
          <w:sz w:val="24"/>
          <w:szCs w:val="24"/>
          <w:u w:val="single"/>
        </w:rPr>
      </w:pPr>
    </w:p>
    <w:p w14:paraId="022B65C9" w14:textId="77777777" w:rsidR="00052952" w:rsidRDefault="00052952" w:rsidP="00052952">
      <w:pPr>
        <w:pStyle w:val="NormalWeb"/>
        <w:spacing w:before="0" w:beforeAutospacing="0" w:after="0" w:afterAutospacing="0"/>
        <w:textAlignment w:val="baseline"/>
        <w:rPr>
          <w:color w:val="000000"/>
        </w:rPr>
      </w:pPr>
    </w:p>
    <w:p w14:paraId="55EC708A" w14:textId="51E241CD" w:rsidR="00052952" w:rsidRDefault="00052952" w:rsidP="00052952">
      <w:pPr>
        <w:jc w:val="center"/>
      </w:pPr>
      <w:r>
        <w:rPr>
          <w:noProof/>
        </w:rPr>
        <w:drawing>
          <wp:inline distT="0" distB="0" distL="0" distR="0" wp14:anchorId="030A5680" wp14:editId="4D83BC79">
            <wp:extent cx="381000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3810000" cy="1323975"/>
                    </a:xfrm>
                    <a:prstGeom prst="rect">
                      <a:avLst/>
                    </a:prstGeom>
                    <a:noFill/>
                    <a:ln>
                      <a:noFill/>
                    </a:ln>
                  </pic:spPr>
                </pic:pic>
              </a:graphicData>
            </a:graphic>
          </wp:inline>
        </w:drawing>
      </w:r>
    </w:p>
    <w:p w14:paraId="6AA63187" w14:textId="77777777" w:rsidR="00052952" w:rsidRDefault="00052952" w:rsidP="00052952">
      <w:pPr>
        <w:jc w:val="center"/>
      </w:pPr>
    </w:p>
    <w:p w14:paraId="04C6FF42" w14:textId="77777777" w:rsidR="00052952" w:rsidRDefault="00052952" w:rsidP="00052952">
      <w:pPr>
        <w:jc w:val="center"/>
        <w:rPr>
          <w:b/>
          <w:bCs/>
          <w:sz w:val="36"/>
          <w:szCs w:val="36"/>
        </w:rPr>
      </w:pPr>
      <w:r>
        <w:rPr>
          <w:b/>
          <w:bCs/>
          <w:sz w:val="36"/>
          <w:szCs w:val="36"/>
        </w:rPr>
        <w:t>State Legislative Update</w:t>
      </w:r>
    </w:p>
    <w:p w14:paraId="613B3A13" w14:textId="77777777" w:rsidR="00052952" w:rsidRDefault="00052952" w:rsidP="00052952">
      <w:pPr>
        <w:jc w:val="center"/>
        <w:rPr>
          <w:sz w:val="24"/>
          <w:szCs w:val="24"/>
        </w:rPr>
      </w:pPr>
    </w:p>
    <w:p w14:paraId="382FE676" w14:textId="77777777" w:rsidR="00052952" w:rsidRDefault="00052952" w:rsidP="00052952">
      <w:pPr>
        <w:jc w:val="center"/>
      </w:pPr>
      <w:r>
        <w:lastRenderedPageBreak/>
        <w:t>December 23, 2020</w:t>
      </w:r>
    </w:p>
    <w:p w14:paraId="20A90480" w14:textId="77777777" w:rsidR="00052952" w:rsidRDefault="00052952" w:rsidP="00052952">
      <w:pPr>
        <w:jc w:val="center"/>
      </w:pPr>
    </w:p>
    <w:p w14:paraId="0F1E6EDB" w14:textId="77777777" w:rsidR="00052952" w:rsidRDefault="00052952" w:rsidP="00052952">
      <w:r>
        <w:t>The 2021 South Carolina General Assembly session will begin Tuesday, January 12</w:t>
      </w:r>
      <w:r>
        <w:rPr>
          <w:vertAlign w:val="superscript"/>
        </w:rPr>
        <w:t>th</w:t>
      </w:r>
      <w:r>
        <w:t xml:space="preserve">.   The 2021 session is the first year of the two-year session.  As of this writing, it is unclear to what extent the pandemic will impact the legislature’s ability to conduct business as usual.  In addition to the usual work on the budget, the legislature will also be tasked with re-districting, finishing up work on education, and, if agreement can be found, legislation to address the Santee Cooper utility.  </w:t>
      </w:r>
    </w:p>
    <w:p w14:paraId="1D8F7E8F" w14:textId="77777777" w:rsidR="00052952" w:rsidRDefault="00052952" w:rsidP="00052952"/>
    <w:p w14:paraId="24F6F3DD" w14:textId="77777777" w:rsidR="00052952" w:rsidRDefault="00052952" w:rsidP="00052952">
      <w:pPr>
        <w:rPr>
          <w:i/>
          <w:iCs/>
        </w:rPr>
      </w:pPr>
      <w:r>
        <w:t xml:space="preserve">Both chambers have pre-filed legislation, and there are numerous bills affecting children’s health, safety, and well-being – along with bills affecting medical practice and the hospitals.  Not included in this list are numerous pro-gun owner right bills, bills regarding the Certificate of Need program (repeal or reform), and abortion bills. </w:t>
      </w:r>
      <w:r>
        <w:rPr>
          <w:i/>
          <w:iCs/>
        </w:rPr>
        <w:t xml:space="preserve">Please contact me if you want additional information on any of those bills. </w:t>
      </w:r>
    </w:p>
    <w:p w14:paraId="30F63CCD" w14:textId="77777777" w:rsidR="00052952" w:rsidRDefault="00052952" w:rsidP="00052952"/>
    <w:p w14:paraId="7187644E" w14:textId="77777777" w:rsidR="00052952" w:rsidRDefault="00052952" w:rsidP="00052952">
      <w:proofErr w:type="gramStart"/>
      <w:r>
        <w:t>In an effort to</w:t>
      </w:r>
      <w:proofErr w:type="gramEnd"/>
      <w:r>
        <w:t xml:space="preserve"> streamline a review of the pre-filed bills, all are categorized by topic on the following pages.   For reference:</w:t>
      </w:r>
    </w:p>
    <w:p w14:paraId="721FEA63" w14:textId="77777777" w:rsidR="00052952" w:rsidRDefault="00052952" w:rsidP="00052952">
      <w:pPr>
        <w:pStyle w:val="ListParagraph"/>
        <w:numPr>
          <w:ilvl w:val="0"/>
          <w:numId w:val="3"/>
        </w:numPr>
        <w:rPr>
          <w:rFonts w:eastAsia="Times New Roman"/>
        </w:rPr>
      </w:pPr>
      <w:r>
        <w:rPr>
          <w:rFonts w:eastAsia="Times New Roman"/>
        </w:rPr>
        <w:t xml:space="preserve">“S” denotes Senate Bill. </w:t>
      </w:r>
    </w:p>
    <w:p w14:paraId="4D6FC117" w14:textId="77777777" w:rsidR="00052952" w:rsidRDefault="00052952" w:rsidP="00052952">
      <w:pPr>
        <w:pStyle w:val="ListParagraph"/>
        <w:numPr>
          <w:ilvl w:val="0"/>
          <w:numId w:val="3"/>
        </w:numPr>
        <w:rPr>
          <w:rFonts w:eastAsia="Times New Roman"/>
        </w:rPr>
      </w:pPr>
      <w:r>
        <w:rPr>
          <w:rFonts w:eastAsia="Times New Roman"/>
        </w:rPr>
        <w:t xml:space="preserve">“H” denotes House Bill. </w:t>
      </w:r>
      <w:r>
        <w:rPr>
          <w:rFonts w:eastAsia="Times New Roman"/>
          <w:color w:val="538135"/>
        </w:rPr>
        <w:t> </w:t>
      </w:r>
    </w:p>
    <w:p w14:paraId="534F6333" w14:textId="77777777" w:rsidR="00052952" w:rsidRDefault="00052952" w:rsidP="00052952">
      <w:pPr>
        <w:pStyle w:val="ListParagraph"/>
        <w:numPr>
          <w:ilvl w:val="0"/>
          <w:numId w:val="3"/>
        </w:numPr>
        <w:rPr>
          <w:rFonts w:eastAsia="Times New Roman"/>
        </w:rPr>
      </w:pPr>
      <w:r>
        <w:rPr>
          <w:rFonts w:eastAsia="Times New Roman"/>
          <w:color w:val="538135"/>
        </w:rPr>
        <w:t xml:space="preserve">“JCLCC </w:t>
      </w:r>
      <w:proofErr w:type="gramStart"/>
      <w:r>
        <w:rPr>
          <w:rFonts w:eastAsia="Times New Roman"/>
          <w:color w:val="538135"/>
        </w:rPr>
        <w:t>“ bill</w:t>
      </w:r>
      <w:proofErr w:type="gramEnd"/>
      <w:r>
        <w:rPr>
          <w:rFonts w:eastAsia="Times New Roman"/>
          <w:color w:val="538135"/>
        </w:rPr>
        <w:t xml:space="preserve"> denotes a Joint Citizens and Legislative Committee on Children bill. </w:t>
      </w:r>
    </w:p>
    <w:p w14:paraId="279D7F2F" w14:textId="77777777" w:rsidR="00052952" w:rsidRDefault="00052952" w:rsidP="00052952"/>
    <w:p w14:paraId="6024F7E0" w14:textId="77777777" w:rsidR="00052952" w:rsidRDefault="00052952" w:rsidP="00052952">
      <w:r>
        <w:t xml:space="preserve">Please do not hesitate to reach out if you have any questions or concerns regarding any of the following legislation.    </w:t>
      </w:r>
    </w:p>
    <w:p w14:paraId="0546495C" w14:textId="77777777" w:rsidR="00052952" w:rsidRDefault="00052952" w:rsidP="00052952"/>
    <w:p w14:paraId="747900FF" w14:textId="77777777" w:rsidR="00052952" w:rsidRDefault="00052952" w:rsidP="00052952">
      <w:r>
        <w:t>Maggie Cash, Executive Director</w:t>
      </w:r>
    </w:p>
    <w:p w14:paraId="612827C7" w14:textId="77777777" w:rsidR="00052952" w:rsidRDefault="00052952" w:rsidP="00052952">
      <w:r>
        <w:t>South Carolina Children’s Hospital Collaborative</w:t>
      </w:r>
    </w:p>
    <w:p w14:paraId="5C8AE1EC" w14:textId="77777777" w:rsidR="00052952" w:rsidRDefault="00052952" w:rsidP="00052952">
      <w:r>
        <w:t>Cell:   843-270-0533</w:t>
      </w:r>
    </w:p>
    <w:p w14:paraId="5709F266" w14:textId="77777777" w:rsidR="00052952" w:rsidRDefault="00052952" w:rsidP="00052952">
      <w:r>
        <w:t xml:space="preserve">Email:  </w:t>
      </w:r>
      <w:hyperlink r:id="rId44" w:history="1">
        <w:r>
          <w:rPr>
            <w:rStyle w:val="Hyperlink"/>
          </w:rPr>
          <w:t>maggie@scchildrenshospitals.org</w:t>
        </w:r>
      </w:hyperlink>
    </w:p>
    <w:p w14:paraId="33A520D3" w14:textId="77777777" w:rsidR="00052952" w:rsidRDefault="00052952" w:rsidP="00052952"/>
    <w:p w14:paraId="60E91C76" w14:textId="77777777" w:rsidR="00052952" w:rsidRDefault="00052952" w:rsidP="00052952">
      <w:pPr>
        <w:rPr>
          <w:color w:val="C00000"/>
          <w:sz w:val="32"/>
          <w:szCs w:val="32"/>
        </w:rPr>
      </w:pPr>
      <w:r>
        <w:rPr>
          <w:color w:val="C00000"/>
          <w:sz w:val="32"/>
          <w:szCs w:val="32"/>
        </w:rPr>
        <w:t>Child Abuse and Child Welfare</w:t>
      </w:r>
    </w:p>
    <w:p w14:paraId="69F5C497" w14:textId="77777777" w:rsidR="00052952" w:rsidRDefault="00052952" w:rsidP="00052952">
      <w:pPr>
        <w:rPr>
          <w:sz w:val="24"/>
          <w:szCs w:val="24"/>
        </w:rPr>
      </w:pPr>
      <w:r>
        <w:rPr>
          <w:i/>
          <w:iCs/>
        </w:rPr>
        <w:t>(Note:  This is not an exclusive list of child abuse/welfare bills – just the most relevant bills.)</w:t>
      </w:r>
    </w:p>
    <w:tbl>
      <w:tblPr>
        <w:tblW w:w="0" w:type="auto"/>
        <w:tblInd w:w="85" w:type="dxa"/>
        <w:tblCellMar>
          <w:left w:w="0" w:type="dxa"/>
          <w:right w:w="0" w:type="dxa"/>
        </w:tblCellMar>
        <w:tblLook w:val="04A0" w:firstRow="1" w:lastRow="0" w:firstColumn="1" w:lastColumn="0" w:noHBand="0" w:noVBand="1"/>
      </w:tblPr>
      <w:tblGrid>
        <w:gridCol w:w="915"/>
        <w:gridCol w:w="1505"/>
        <w:gridCol w:w="6835"/>
      </w:tblGrid>
      <w:tr w:rsidR="00052952" w14:paraId="63F403B1" w14:textId="77777777" w:rsidTr="00052952">
        <w:tc>
          <w:tcPr>
            <w:tcW w:w="972"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1483BA03" w14:textId="77777777" w:rsidR="00052952" w:rsidRDefault="00052952">
            <w:pPr>
              <w:jc w:val="center"/>
              <w:rPr>
                <w:b/>
                <w:bCs/>
                <w:color w:val="FFFFFF"/>
                <w:sz w:val="24"/>
                <w:szCs w:val="24"/>
              </w:rPr>
            </w:pPr>
            <w:r>
              <w:rPr>
                <w:b/>
                <w:bCs/>
                <w:color w:val="FFFFFF"/>
                <w:sz w:val="24"/>
                <w:szCs w:val="24"/>
              </w:rPr>
              <w:t>Bill #</w:t>
            </w:r>
          </w:p>
        </w:tc>
        <w:tc>
          <w:tcPr>
            <w:tcW w:w="1505"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1C83C0CF" w14:textId="77777777" w:rsidR="00052952" w:rsidRDefault="00052952">
            <w:pPr>
              <w:rPr>
                <w:b/>
                <w:bCs/>
                <w:color w:val="FFFFFF"/>
                <w:sz w:val="24"/>
                <w:szCs w:val="24"/>
              </w:rPr>
            </w:pPr>
            <w:r>
              <w:rPr>
                <w:b/>
                <w:bCs/>
                <w:color w:val="FFFFFF"/>
                <w:sz w:val="24"/>
                <w:szCs w:val="24"/>
              </w:rPr>
              <w:t>Sponsor</w:t>
            </w:r>
          </w:p>
        </w:tc>
        <w:tc>
          <w:tcPr>
            <w:tcW w:w="8053"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05889620" w14:textId="77777777" w:rsidR="00052952" w:rsidRDefault="00052952">
            <w:pPr>
              <w:rPr>
                <w:b/>
                <w:bCs/>
                <w:color w:val="FFFFFF"/>
                <w:sz w:val="24"/>
                <w:szCs w:val="24"/>
              </w:rPr>
            </w:pPr>
            <w:r>
              <w:rPr>
                <w:b/>
                <w:bCs/>
                <w:color w:val="FFFFFF"/>
                <w:sz w:val="24"/>
                <w:szCs w:val="24"/>
              </w:rPr>
              <w:t>Description</w:t>
            </w:r>
          </w:p>
        </w:tc>
      </w:tr>
      <w:tr w:rsidR="00052952" w14:paraId="18EF5DD8" w14:textId="77777777" w:rsidTr="00052952">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E94BD" w14:textId="77777777" w:rsidR="00052952" w:rsidRDefault="00052952">
            <w:pPr>
              <w:jc w:val="center"/>
              <w:rPr>
                <w:sz w:val="24"/>
                <w:szCs w:val="24"/>
              </w:rPr>
            </w:pPr>
            <w:hyperlink r:id="rId45" w:history="1">
              <w:r>
                <w:rPr>
                  <w:rStyle w:val="Hyperlink"/>
                  <w:sz w:val="24"/>
                  <w:szCs w:val="24"/>
                </w:rPr>
                <w:t>S 221</w:t>
              </w:r>
            </w:hyperlink>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32DCDEAB" w14:textId="77777777" w:rsidR="00052952" w:rsidRDefault="00052952">
            <w:pPr>
              <w:jc w:val="center"/>
              <w:rPr>
                <w:color w:val="000000"/>
                <w:sz w:val="24"/>
                <w:szCs w:val="24"/>
              </w:rPr>
            </w:pPr>
            <w:r>
              <w:rPr>
                <w:color w:val="000000"/>
                <w:sz w:val="24"/>
                <w:szCs w:val="24"/>
              </w:rPr>
              <w:t>Shealy/</w:t>
            </w:r>
            <w:r>
              <w:rPr>
                <w:color w:val="538135"/>
                <w:sz w:val="24"/>
                <w:szCs w:val="24"/>
              </w:rPr>
              <w:t>JCLCC</w:t>
            </w:r>
          </w:p>
        </w:tc>
        <w:tc>
          <w:tcPr>
            <w:tcW w:w="8053" w:type="dxa"/>
            <w:tcBorders>
              <w:top w:val="nil"/>
              <w:left w:val="nil"/>
              <w:bottom w:val="single" w:sz="8" w:space="0" w:color="auto"/>
              <w:right w:val="single" w:sz="8" w:space="0" w:color="auto"/>
            </w:tcBorders>
            <w:tcMar>
              <w:top w:w="0" w:type="dxa"/>
              <w:left w:w="108" w:type="dxa"/>
              <w:bottom w:w="0" w:type="dxa"/>
              <w:right w:w="108" w:type="dxa"/>
            </w:tcMar>
          </w:tcPr>
          <w:p w14:paraId="5E570EF3" w14:textId="77777777" w:rsidR="00052952" w:rsidRDefault="00052952">
            <w:pPr>
              <w:rPr>
                <w:sz w:val="24"/>
                <w:szCs w:val="24"/>
              </w:rPr>
            </w:pPr>
            <w:r>
              <w:rPr>
                <w:b/>
                <w:bCs/>
                <w:sz w:val="24"/>
                <w:szCs w:val="24"/>
              </w:rPr>
              <w:t>Foster Care:</w:t>
            </w:r>
            <w:r>
              <w:rPr>
                <w:sz w:val="24"/>
                <w:szCs w:val="24"/>
              </w:rPr>
              <w:t xml:space="preserve"> Creates the Extended Foster Care Program”, voluntary foster care option for ages 18-21 years and to provide for permanency planning for 18-21 years.</w:t>
            </w:r>
          </w:p>
          <w:p w14:paraId="4CE56F65" w14:textId="77777777" w:rsidR="00052952" w:rsidRDefault="00052952">
            <w:pPr>
              <w:rPr>
                <w:sz w:val="24"/>
                <w:szCs w:val="24"/>
              </w:rPr>
            </w:pPr>
          </w:p>
        </w:tc>
      </w:tr>
      <w:tr w:rsidR="00052952" w14:paraId="4C0C610A" w14:textId="77777777" w:rsidTr="00052952">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FED61" w14:textId="77777777" w:rsidR="00052952" w:rsidRDefault="00052952">
            <w:pPr>
              <w:jc w:val="center"/>
              <w:rPr>
                <w:sz w:val="24"/>
                <w:szCs w:val="24"/>
              </w:rPr>
            </w:pPr>
            <w:hyperlink r:id="rId46" w:history="1">
              <w:r>
                <w:rPr>
                  <w:rStyle w:val="Hyperlink"/>
                  <w:sz w:val="24"/>
                  <w:szCs w:val="24"/>
                </w:rPr>
                <w:t>S 222</w:t>
              </w:r>
            </w:hyperlink>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5C7267C5" w14:textId="77777777" w:rsidR="00052952" w:rsidRDefault="00052952">
            <w:pPr>
              <w:jc w:val="center"/>
              <w:rPr>
                <w:color w:val="000000"/>
                <w:sz w:val="24"/>
                <w:szCs w:val="24"/>
              </w:rPr>
            </w:pPr>
            <w:r>
              <w:rPr>
                <w:color w:val="000000"/>
                <w:sz w:val="24"/>
                <w:szCs w:val="24"/>
              </w:rPr>
              <w:t>Shealy/</w:t>
            </w:r>
            <w:r>
              <w:rPr>
                <w:color w:val="538135"/>
                <w:sz w:val="24"/>
                <w:szCs w:val="24"/>
              </w:rPr>
              <w:t>JCLCC</w:t>
            </w:r>
          </w:p>
        </w:tc>
        <w:tc>
          <w:tcPr>
            <w:tcW w:w="8053" w:type="dxa"/>
            <w:tcBorders>
              <w:top w:val="nil"/>
              <w:left w:val="nil"/>
              <w:bottom w:val="single" w:sz="8" w:space="0" w:color="auto"/>
              <w:right w:val="single" w:sz="8" w:space="0" w:color="auto"/>
            </w:tcBorders>
            <w:tcMar>
              <w:top w:w="0" w:type="dxa"/>
              <w:left w:w="108" w:type="dxa"/>
              <w:bottom w:w="0" w:type="dxa"/>
              <w:right w:w="108" w:type="dxa"/>
            </w:tcMar>
            <w:hideMark/>
          </w:tcPr>
          <w:p w14:paraId="2C03DFFC" w14:textId="77777777" w:rsidR="00052952" w:rsidRDefault="00052952">
            <w:pPr>
              <w:rPr>
                <w:sz w:val="24"/>
                <w:szCs w:val="24"/>
              </w:rPr>
            </w:pPr>
            <w:r>
              <w:rPr>
                <w:b/>
                <w:bCs/>
                <w:sz w:val="24"/>
                <w:szCs w:val="24"/>
              </w:rPr>
              <w:t>Foster Care:</w:t>
            </w:r>
            <w:r>
              <w:rPr>
                <w:sz w:val="24"/>
                <w:szCs w:val="24"/>
              </w:rPr>
              <w:t xml:space="preserve"> Defines “fictive kin” (someone who child has emotionally significant relationship with) and allows fictive kin to be eligible as kinship foster care givers </w:t>
            </w:r>
          </w:p>
          <w:p w14:paraId="2BB4A435" w14:textId="77777777" w:rsidR="00052952" w:rsidRDefault="00052952">
            <w:pPr>
              <w:jc w:val="right"/>
              <w:rPr>
                <w:i/>
                <w:iCs/>
                <w:sz w:val="24"/>
                <w:szCs w:val="24"/>
              </w:rPr>
            </w:pPr>
            <w:r>
              <w:rPr>
                <w:i/>
                <w:iCs/>
                <w:sz w:val="24"/>
                <w:szCs w:val="24"/>
              </w:rPr>
              <w:t xml:space="preserve">Companion bill:  </w:t>
            </w:r>
            <w:hyperlink r:id="rId47" w:history="1">
              <w:r>
                <w:rPr>
                  <w:rStyle w:val="Hyperlink"/>
                  <w:i/>
                  <w:iCs/>
                  <w:sz w:val="24"/>
                  <w:szCs w:val="24"/>
                </w:rPr>
                <w:t>H 3214 (Bernstein)</w:t>
              </w:r>
            </w:hyperlink>
            <w:r>
              <w:rPr>
                <w:i/>
                <w:iCs/>
                <w:sz w:val="24"/>
                <w:szCs w:val="24"/>
              </w:rPr>
              <w:t xml:space="preserve"> </w:t>
            </w:r>
          </w:p>
        </w:tc>
      </w:tr>
      <w:tr w:rsidR="00052952" w14:paraId="6F5869CA" w14:textId="77777777" w:rsidTr="00052952">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3AA08" w14:textId="77777777" w:rsidR="00052952" w:rsidRDefault="00052952">
            <w:pPr>
              <w:jc w:val="center"/>
              <w:rPr>
                <w:sz w:val="24"/>
                <w:szCs w:val="24"/>
              </w:rPr>
            </w:pPr>
            <w:hyperlink r:id="rId48" w:history="1">
              <w:r>
                <w:rPr>
                  <w:rStyle w:val="Hyperlink"/>
                  <w:sz w:val="24"/>
                  <w:szCs w:val="24"/>
                </w:rPr>
                <w:t>S 223</w:t>
              </w:r>
            </w:hyperlink>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4BCEAFE0" w14:textId="77777777" w:rsidR="00052952" w:rsidRDefault="00052952">
            <w:pPr>
              <w:jc w:val="center"/>
              <w:rPr>
                <w:color w:val="000000"/>
                <w:sz w:val="24"/>
                <w:szCs w:val="24"/>
              </w:rPr>
            </w:pPr>
            <w:r>
              <w:rPr>
                <w:color w:val="000000"/>
                <w:sz w:val="24"/>
                <w:szCs w:val="24"/>
              </w:rPr>
              <w:t>Shealy</w:t>
            </w:r>
          </w:p>
        </w:tc>
        <w:tc>
          <w:tcPr>
            <w:tcW w:w="8053" w:type="dxa"/>
            <w:tcBorders>
              <w:top w:val="nil"/>
              <w:left w:val="nil"/>
              <w:bottom w:val="single" w:sz="8" w:space="0" w:color="auto"/>
              <w:right w:val="single" w:sz="8" w:space="0" w:color="auto"/>
            </w:tcBorders>
            <w:tcMar>
              <w:top w:w="0" w:type="dxa"/>
              <w:left w:w="108" w:type="dxa"/>
              <w:bottom w:w="0" w:type="dxa"/>
              <w:right w:w="108" w:type="dxa"/>
            </w:tcMar>
          </w:tcPr>
          <w:p w14:paraId="533DFC57" w14:textId="77777777" w:rsidR="00052952" w:rsidRDefault="00052952">
            <w:pPr>
              <w:rPr>
                <w:sz w:val="24"/>
                <w:szCs w:val="24"/>
              </w:rPr>
            </w:pPr>
            <w:r>
              <w:rPr>
                <w:b/>
                <w:bCs/>
                <w:sz w:val="24"/>
                <w:szCs w:val="24"/>
              </w:rPr>
              <w:t>Trafficking/Domestic Violence:</w:t>
            </w:r>
            <w:r>
              <w:rPr>
                <w:sz w:val="24"/>
                <w:szCs w:val="24"/>
              </w:rPr>
              <w:t xml:space="preserve"> Addresses confidentiality for human trafficking/domestic violence victims. Victims can establish a designated address in lieu of a residence address through Attorney General program. </w:t>
            </w:r>
          </w:p>
          <w:p w14:paraId="0C0678E4" w14:textId="77777777" w:rsidR="00052952" w:rsidRDefault="00052952">
            <w:pPr>
              <w:rPr>
                <w:sz w:val="24"/>
                <w:szCs w:val="24"/>
              </w:rPr>
            </w:pPr>
          </w:p>
        </w:tc>
      </w:tr>
      <w:tr w:rsidR="00052952" w14:paraId="68C32DC8" w14:textId="77777777" w:rsidTr="00052952">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F559B" w14:textId="77777777" w:rsidR="00052952" w:rsidRDefault="00052952">
            <w:pPr>
              <w:jc w:val="center"/>
              <w:rPr>
                <w:sz w:val="24"/>
                <w:szCs w:val="24"/>
              </w:rPr>
            </w:pPr>
            <w:hyperlink r:id="rId49" w:history="1">
              <w:r>
                <w:rPr>
                  <w:rStyle w:val="Hyperlink"/>
                  <w:sz w:val="24"/>
                  <w:szCs w:val="24"/>
                </w:rPr>
                <w:t>S 224</w:t>
              </w:r>
            </w:hyperlink>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6BE3F273" w14:textId="77777777" w:rsidR="00052952" w:rsidRDefault="00052952">
            <w:pPr>
              <w:jc w:val="center"/>
              <w:rPr>
                <w:color w:val="000000"/>
                <w:sz w:val="24"/>
                <w:szCs w:val="24"/>
              </w:rPr>
            </w:pPr>
            <w:r>
              <w:rPr>
                <w:color w:val="000000"/>
                <w:sz w:val="24"/>
                <w:szCs w:val="24"/>
              </w:rPr>
              <w:t>Shealy/</w:t>
            </w:r>
            <w:r>
              <w:rPr>
                <w:color w:val="538135"/>
                <w:sz w:val="24"/>
                <w:szCs w:val="24"/>
              </w:rPr>
              <w:t>JCLCC</w:t>
            </w:r>
          </w:p>
        </w:tc>
        <w:tc>
          <w:tcPr>
            <w:tcW w:w="8053" w:type="dxa"/>
            <w:tcBorders>
              <w:top w:val="nil"/>
              <w:left w:val="nil"/>
              <w:bottom w:val="single" w:sz="8" w:space="0" w:color="auto"/>
              <w:right w:val="single" w:sz="8" w:space="0" w:color="auto"/>
            </w:tcBorders>
            <w:tcMar>
              <w:top w:w="0" w:type="dxa"/>
              <w:left w:w="108" w:type="dxa"/>
              <w:bottom w:w="0" w:type="dxa"/>
              <w:right w:w="108" w:type="dxa"/>
            </w:tcMar>
            <w:hideMark/>
          </w:tcPr>
          <w:p w14:paraId="22D90922" w14:textId="77777777" w:rsidR="00052952" w:rsidRDefault="00052952">
            <w:pPr>
              <w:rPr>
                <w:sz w:val="24"/>
                <w:szCs w:val="24"/>
              </w:rPr>
            </w:pPr>
            <w:r>
              <w:rPr>
                <w:b/>
                <w:bCs/>
                <w:sz w:val="24"/>
                <w:szCs w:val="24"/>
              </w:rPr>
              <w:t>Trafficking:</w:t>
            </w:r>
            <w:r>
              <w:rPr>
                <w:sz w:val="24"/>
                <w:szCs w:val="24"/>
              </w:rPr>
              <w:t xml:space="preserve"> Being a human trafficking victim is an affirmative defense for a charge of prostitution.  </w:t>
            </w:r>
          </w:p>
          <w:p w14:paraId="7B4031CB" w14:textId="77777777" w:rsidR="00052952" w:rsidRDefault="00052952">
            <w:pPr>
              <w:jc w:val="right"/>
              <w:rPr>
                <w:i/>
                <w:iCs/>
                <w:sz w:val="24"/>
                <w:szCs w:val="24"/>
              </w:rPr>
            </w:pPr>
            <w:r>
              <w:rPr>
                <w:i/>
                <w:iCs/>
                <w:sz w:val="24"/>
                <w:szCs w:val="24"/>
              </w:rPr>
              <w:lastRenderedPageBreak/>
              <w:t xml:space="preserve">Companion bill:  </w:t>
            </w:r>
            <w:hyperlink r:id="rId50" w:history="1">
              <w:r>
                <w:rPr>
                  <w:rStyle w:val="Hyperlink"/>
                  <w:i/>
                  <w:iCs/>
                  <w:sz w:val="24"/>
                  <w:szCs w:val="24"/>
                </w:rPr>
                <w:t>H 3224 (Fry)</w:t>
              </w:r>
            </w:hyperlink>
          </w:p>
        </w:tc>
      </w:tr>
      <w:tr w:rsidR="00052952" w14:paraId="09D0DFA7" w14:textId="77777777" w:rsidTr="00052952">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0475F" w14:textId="77777777" w:rsidR="00052952" w:rsidRDefault="00052952">
            <w:pPr>
              <w:jc w:val="center"/>
              <w:rPr>
                <w:sz w:val="24"/>
                <w:szCs w:val="24"/>
              </w:rPr>
            </w:pPr>
            <w:hyperlink r:id="rId51" w:history="1">
              <w:r>
                <w:rPr>
                  <w:rStyle w:val="Hyperlink"/>
                  <w:sz w:val="24"/>
                  <w:szCs w:val="24"/>
                </w:rPr>
                <w:t>S 225</w:t>
              </w:r>
            </w:hyperlink>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457EC8B3" w14:textId="77777777" w:rsidR="00052952" w:rsidRDefault="00052952">
            <w:pPr>
              <w:jc w:val="center"/>
              <w:rPr>
                <w:color w:val="000000"/>
                <w:sz w:val="24"/>
                <w:szCs w:val="24"/>
              </w:rPr>
            </w:pPr>
            <w:r>
              <w:rPr>
                <w:color w:val="000000"/>
                <w:sz w:val="24"/>
                <w:szCs w:val="24"/>
              </w:rPr>
              <w:t>Shealy/</w:t>
            </w:r>
            <w:r>
              <w:rPr>
                <w:color w:val="538135"/>
                <w:sz w:val="24"/>
                <w:szCs w:val="24"/>
              </w:rPr>
              <w:t>JCLCC</w:t>
            </w:r>
          </w:p>
        </w:tc>
        <w:tc>
          <w:tcPr>
            <w:tcW w:w="8053" w:type="dxa"/>
            <w:tcBorders>
              <w:top w:val="nil"/>
              <w:left w:val="nil"/>
              <w:bottom w:val="single" w:sz="8" w:space="0" w:color="auto"/>
              <w:right w:val="single" w:sz="8" w:space="0" w:color="auto"/>
            </w:tcBorders>
            <w:tcMar>
              <w:top w:w="0" w:type="dxa"/>
              <w:left w:w="108" w:type="dxa"/>
              <w:bottom w:w="0" w:type="dxa"/>
              <w:right w:w="108" w:type="dxa"/>
            </w:tcMar>
            <w:hideMark/>
          </w:tcPr>
          <w:p w14:paraId="2BE655EB" w14:textId="77777777" w:rsidR="00052952" w:rsidRDefault="00052952">
            <w:pPr>
              <w:rPr>
                <w:sz w:val="24"/>
                <w:szCs w:val="24"/>
              </w:rPr>
            </w:pPr>
            <w:r>
              <w:rPr>
                <w:b/>
                <w:bCs/>
                <w:sz w:val="24"/>
                <w:szCs w:val="24"/>
              </w:rPr>
              <w:t>Minors/Sex Offender Registry</w:t>
            </w:r>
            <w:r>
              <w:rPr>
                <w:sz w:val="24"/>
                <w:szCs w:val="24"/>
              </w:rPr>
              <w:t xml:space="preserve">: Family court to have discretion on placing minor on sex offender </w:t>
            </w:r>
            <w:proofErr w:type="gramStart"/>
            <w:r>
              <w:rPr>
                <w:sz w:val="24"/>
                <w:szCs w:val="24"/>
              </w:rPr>
              <w:t>registry;  limits</w:t>
            </w:r>
            <w:proofErr w:type="gramEnd"/>
            <w:r>
              <w:rPr>
                <w:sz w:val="24"/>
                <w:szCs w:val="24"/>
              </w:rPr>
              <w:t xml:space="preserve"> public access to information on registry.   </w:t>
            </w:r>
          </w:p>
          <w:p w14:paraId="3E7AD883" w14:textId="77777777" w:rsidR="00052952" w:rsidRDefault="00052952">
            <w:pPr>
              <w:jc w:val="right"/>
              <w:rPr>
                <w:i/>
                <w:iCs/>
                <w:sz w:val="24"/>
                <w:szCs w:val="24"/>
              </w:rPr>
            </w:pPr>
            <w:r>
              <w:rPr>
                <w:i/>
                <w:iCs/>
                <w:sz w:val="24"/>
                <w:szCs w:val="24"/>
              </w:rPr>
              <w:t xml:space="preserve">Companion </w:t>
            </w:r>
            <w:hyperlink r:id="rId52" w:history="1">
              <w:r>
                <w:rPr>
                  <w:rStyle w:val="Hyperlink"/>
                  <w:i/>
                  <w:iCs/>
                  <w:sz w:val="24"/>
                  <w:szCs w:val="24"/>
                </w:rPr>
                <w:t>H 3215 (Bernstein)</w:t>
              </w:r>
            </w:hyperlink>
            <w:r>
              <w:rPr>
                <w:i/>
                <w:iCs/>
                <w:sz w:val="24"/>
                <w:szCs w:val="24"/>
              </w:rPr>
              <w:t xml:space="preserve"> </w:t>
            </w:r>
          </w:p>
        </w:tc>
      </w:tr>
      <w:tr w:rsidR="00052952" w14:paraId="1FE11A8B" w14:textId="77777777" w:rsidTr="00052952">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0B6C7" w14:textId="77777777" w:rsidR="00052952" w:rsidRDefault="00052952">
            <w:pPr>
              <w:jc w:val="center"/>
              <w:rPr>
                <w:sz w:val="24"/>
                <w:szCs w:val="24"/>
              </w:rPr>
            </w:pPr>
            <w:hyperlink r:id="rId53" w:history="1">
              <w:r>
                <w:rPr>
                  <w:rStyle w:val="Hyperlink"/>
                  <w:sz w:val="24"/>
                  <w:szCs w:val="24"/>
                </w:rPr>
                <w:t>S 229</w:t>
              </w:r>
            </w:hyperlink>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5B10B11B" w14:textId="77777777" w:rsidR="00052952" w:rsidRDefault="00052952">
            <w:pPr>
              <w:jc w:val="center"/>
              <w:rPr>
                <w:color w:val="000000"/>
                <w:sz w:val="24"/>
                <w:szCs w:val="24"/>
              </w:rPr>
            </w:pPr>
            <w:r>
              <w:rPr>
                <w:color w:val="000000"/>
                <w:sz w:val="24"/>
                <w:szCs w:val="24"/>
              </w:rPr>
              <w:t>Shealy/</w:t>
            </w:r>
            <w:r>
              <w:rPr>
                <w:color w:val="538135"/>
                <w:sz w:val="24"/>
                <w:szCs w:val="24"/>
              </w:rPr>
              <w:t>JCLCC</w:t>
            </w:r>
          </w:p>
        </w:tc>
        <w:tc>
          <w:tcPr>
            <w:tcW w:w="8053" w:type="dxa"/>
            <w:tcBorders>
              <w:top w:val="nil"/>
              <w:left w:val="nil"/>
              <w:bottom w:val="single" w:sz="8" w:space="0" w:color="auto"/>
              <w:right w:val="single" w:sz="8" w:space="0" w:color="auto"/>
            </w:tcBorders>
            <w:tcMar>
              <w:top w:w="0" w:type="dxa"/>
              <w:left w:w="108" w:type="dxa"/>
              <w:bottom w:w="0" w:type="dxa"/>
              <w:right w:w="108" w:type="dxa"/>
            </w:tcMar>
            <w:hideMark/>
          </w:tcPr>
          <w:p w14:paraId="2A673738" w14:textId="77777777" w:rsidR="00052952" w:rsidRDefault="00052952">
            <w:pPr>
              <w:rPr>
                <w:sz w:val="24"/>
                <w:szCs w:val="24"/>
              </w:rPr>
            </w:pPr>
            <w:r>
              <w:rPr>
                <w:b/>
                <w:bCs/>
                <w:sz w:val="24"/>
                <w:szCs w:val="24"/>
              </w:rPr>
              <w:t>SC Child Abuse Response Protocol</w:t>
            </w:r>
            <w:r>
              <w:rPr>
                <w:sz w:val="24"/>
                <w:szCs w:val="24"/>
              </w:rPr>
              <w:t xml:space="preserve"> – requires multidisciplinary teams involved in child abuse investigations and prosecutions to follow protocol         </w:t>
            </w:r>
          </w:p>
          <w:p w14:paraId="54BE3416" w14:textId="77777777" w:rsidR="00052952" w:rsidRDefault="00052952">
            <w:pPr>
              <w:jc w:val="right"/>
              <w:rPr>
                <w:sz w:val="24"/>
                <w:szCs w:val="24"/>
              </w:rPr>
            </w:pPr>
            <w:r>
              <w:rPr>
                <w:sz w:val="24"/>
                <w:szCs w:val="24"/>
              </w:rPr>
              <w:t xml:space="preserve">Companion bill </w:t>
            </w:r>
            <w:hyperlink r:id="rId54" w:history="1">
              <w:r>
                <w:rPr>
                  <w:rStyle w:val="Hyperlink"/>
                  <w:sz w:val="24"/>
                  <w:szCs w:val="24"/>
                </w:rPr>
                <w:t>H 3209 (Bernstein)</w:t>
              </w:r>
            </w:hyperlink>
            <w:r>
              <w:rPr>
                <w:sz w:val="24"/>
                <w:szCs w:val="24"/>
              </w:rPr>
              <w:t xml:space="preserve"> </w:t>
            </w:r>
          </w:p>
        </w:tc>
      </w:tr>
      <w:tr w:rsidR="00052952" w14:paraId="78C4C354" w14:textId="77777777" w:rsidTr="00052952">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40537" w14:textId="77777777" w:rsidR="00052952" w:rsidRDefault="00052952">
            <w:pPr>
              <w:jc w:val="center"/>
              <w:rPr>
                <w:sz w:val="24"/>
                <w:szCs w:val="24"/>
              </w:rPr>
            </w:pPr>
            <w:hyperlink r:id="rId55" w:history="1">
              <w:r>
                <w:rPr>
                  <w:rStyle w:val="Hyperlink"/>
                  <w:sz w:val="24"/>
                  <w:szCs w:val="24"/>
                </w:rPr>
                <w:t>S 230</w:t>
              </w:r>
            </w:hyperlink>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1008C3BC" w14:textId="77777777" w:rsidR="00052952" w:rsidRDefault="00052952">
            <w:pPr>
              <w:jc w:val="center"/>
              <w:rPr>
                <w:sz w:val="24"/>
                <w:szCs w:val="24"/>
              </w:rPr>
            </w:pPr>
            <w:r>
              <w:rPr>
                <w:color w:val="000000"/>
                <w:sz w:val="24"/>
                <w:szCs w:val="24"/>
              </w:rPr>
              <w:t>Shealy/</w:t>
            </w:r>
            <w:r>
              <w:rPr>
                <w:color w:val="538135"/>
                <w:sz w:val="24"/>
                <w:szCs w:val="24"/>
              </w:rPr>
              <w:t>JCLCC</w:t>
            </w:r>
          </w:p>
        </w:tc>
        <w:tc>
          <w:tcPr>
            <w:tcW w:w="8053" w:type="dxa"/>
            <w:tcBorders>
              <w:top w:val="nil"/>
              <w:left w:val="nil"/>
              <w:bottom w:val="single" w:sz="8" w:space="0" w:color="auto"/>
              <w:right w:val="single" w:sz="8" w:space="0" w:color="auto"/>
            </w:tcBorders>
            <w:tcMar>
              <w:top w:w="0" w:type="dxa"/>
              <w:left w:w="108" w:type="dxa"/>
              <w:bottom w:w="0" w:type="dxa"/>
              <w:right w:w="108" w:type="dxa"/>
            </w:tcMar>
          </w:tcPr>
          <w:p w14:paraId="3B49B1FA" w14:textId="77777777" w:rsidR="00052952" w:rsidRDefault="00052952">
            <w:pPr>
              <w:rPr>
                <w:sz w:val="24"/>
                <w:szCs w:val="24"/>
              </w:rPr>
            </w:pPr>
            <w:r>
              <w:rPr>
                <w:b/>
                <w:bCs/>
                <w:sz w:val="24"/>
                <w:szCs w:val="24"/>
              </w:rPr>
              <w:t>Trafficking:</w:t>
            </w:r>
            <w:r>
              <w:rPr>
                <w:sz w:val="24"/>
                <w:szCs w:val="24"/>
              </w:rPr>
              <w:t xml:space="preserve"> Presumes trafficked minors under coercion, provides for an affirmative defense and for expungement </w:t>
            </w:r>
          </w:p>
          <w:p w14:paraId="153DA3E2" w14:textId="77777777" w:rsidR="00052952" w:rsidRDefault="00052952">
            <w:pPr>
              <w:rPr>
                <w:sz w:val="24"/>
                <w:szCs w:val="24"/>
              </w:rPr>
            </w:pPr>
          </w:p>
        </w:tc>
      </w:tr>
      <w:tr w:rsidR="00052952" w14:paraId="4B780A92" w14:textId="77777777" w:rsidTr="00052952">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6707E" w14:textId="77777777" w:rsidR="00052952" w:rsidRDefault="00052952">
            <w:pPr>
              <w:jc w:val="center"/>
              <w:rPr>
                <w:sz w:val="24"/>
                <w:szCs w:val="24"/>
              </w:rPr>
            </w:pPr>
            <w:hyperlink r:id="rId56" w:history="1">
              <w:r>
                <w:rPr>
                  <w:rStyle w:val="Hyperlink"/>
                  <w:sz w:val="24"/>
                  <w:szCs w:val="24"/>
                </w:rPr>
                <w:t>S 288</w:t>
              </w:r>
            </w:hyperlink>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539658BB" w14:textId="77777777" w:rsidR="00052952" w:rsidRDefault="00052952">
            <w:pPr>
              <w:jc w:val="center"/>
              <w:rPr>
                <w:sz w:val="24"/>
                <w:szCs w:val="24"/>
              </w:rPr>
            </w:pPr>
            <w:proofErr w:type="spellStart"/>
            <w:r>
              <w:rPr>
                <w:sz w:val="24"/>
                <w:szCs w:val="24"/>
              </w:rPr>
              <w:t>Climer</w:t>
            </w:r>
            <w:proofErr w:type="spellEnd"/>
          </w:p>
        </w:tc>
        <w:tc>
          <w:tcPr>
            <w:tcW w:w="8053" w:type="dxa"/>
            <w:tcBorders>
              <w:top w:val="nil"/>
              <w:left w:val="nil"/>
              <w:bottom w:val="single" w:sz="8" w:space="0" w:color="auto"/>
              <w:right w:val="single" w:sz="8" w:space="0" w:color="auto"/>
            </w:tcBorders>
            <w:tcMar>
              <w:top w:w="0" w:type="dxa"/>
              <w:left w:w="108" w:type="dxa"/>
              <w:bottom w:w="0" w:type="dxa"/>
              <w:right w:w="108" w:type="dxa"/>
            </w:tcMar>
          </w:tcPr>
          <w:p w14:paraId="49D6D84C" w14:textId="77777777" w:rsidR="00052952" w:rsidRDefault="00052952">
            <w:pPr>
              <w:rPr>
                <w:sz w:val="24"/>
                <w:szCs w:val="24"/>
              </w:rPr>
            </w:pPr>
            <w:r>
              <w:rPr>
                <w:b/>
                <w:bCs/>
                <w:sz w:val="24"/>
                <w:szCs w:val="24"/>
              </w:rPr>
              <w:t>“Free range parenting” bill</w:t>
            </w:r>
            <w:r>
              <w:rPr>
                <w:sz w:val="24"/>
                <w:szCs w:val="24"/>
              </w:rPr>
              <w:t xml:space="preserve">, provides for exceptions to definitions of child abuse and neglect.  </w:t>
            </w:r>
            <w:r>
              <w:rPr>
                <w:i/>
                <w:iCs/>
                <w:sz w:val="24"/>
                <w:szCs w:val="24"/>
              </w:rPr>
              <w:t xml:space="preserve">Note:  We had concerns about the previous bill and although the language in this version is somewhat improved, it is still problematic for some children, particularly those with special needs.  The bill is not needed as current statutory definitions allow for normal parenting practices.   </w:t>
            </w:r>
          </w:p>
          <w:p w14:paraId="5234B7B2" w14:textId="77777777" w:rsidR="00052952" w:rsidRDefault="00052952">
            <w:pPr>
              <w:rPr>
                <w:sz w:val="24"/>
                <w:szCs w:val="24"/>
              </w:rPr>
            </w:pPr>
          </w:p>
        </w:tc>
      </w:tr>
      <w:tr w:rsidR="00052952" w14:paraId="5B9694FB" w14:textId="77777777" w:rsidTr="00052952">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53E3" w14:textId="77777777" w:rsidR="00052952" w:rsidRDefault="00052952">
            <w:pPr>
              <w:jc w:val="center"/>
              <w:rPr>
                <w:sz w:val="24"/>
                <w:szCs w:val="24"/>
              </w:rPr>
            </w:pPr>
            <w:hyperlink r:id="rId57" w:history="1">
              <w:r>
                <w:rPr>
                  <w:rStyle w:val="Hyperlink"/>
                  <w:sz w:val="24"/>
                  <w:szCs w:val="24"/>
                </w:rPr>
                <w:t>H 3113</w:t>
              </w:r>
            </w:hyperlink>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73B104ED" w14:textId="77777777" w:rsidR="00052952" w:rsidRDefault="00052952">
            <w:pPr>
              <w:jc w:val="center"/>
              <w:rPr>
                <w:sz w:val="24"/>
                <w:szCs w:val="24"/>
              </w:rPr>
            </w:pPr>
            <w:r>
              <w:rPr>
                <w:sz w:val="24"/>
                <w:szCs w:val="24"/>
              </w:rPr>
              <w:t>Collins</w:t>
            </w:r>
          </w:p>
        </w:tc>
        <w:tc>
          <w:tcPr>
            <w:tcW w:w="8053" w:type="dxa"/>
            <w:tcBorders>
              <w:top w:val="nil"/>
              <w:left w:val="nil"/>
              <w:bottom w:val="single" w:sz="8" w:space="0" w:color="auto"/>
              <w:right w:val="single" w:sz="8" w:space="0" w:color="auto"/>
            </w:tcBorders>
            <w:tcMar>
              <w:top w:w="0" w:type="dxa"/>
              <w:left w:w="108" w:type="dxa"/>
              <w:bottom w:w="0" w:type="dxa"/>
              <w:right w:w="108" w:type="dxa"/>
            </w:tcMar>
          </w:tcPr>
          <w:p w14:paraId="6916F3A7" w14:textId="77777777" w:rsidR="00052952" w:rsidRDefault="00052952">
            <w:pPr>
              <w:rPr>
                <w:sz w:val="24"/>
                <w:szCs w:val="24"/>
              </w:rPr>
            </w:pPr>
            <w:r>
              <w:rPr>
                <w:b/>
                <w:bCs/>
                <w:sz w:val="24"/>
                <w:szCs w:val="24"/>
              </w:rPr>
              <w:t>Foster Care:</w:t>
            </w:r>
            <w:r>
              <w:rPr>
                <w:sz w:val="24"/>
                <w:szCs w:val="24"/>
              </w:rPr>
              <w:t xml:space="preserve"> Adds foster care kids to exceptional needs child education credit</w:t>
            </w:r>
          </w:p>
          <w:p w14:paraId="308E3BBD" w14:textId="77777777" w:rsidR="00052952" w:rsidRDefault="00052952">
            <w:pPr>
              <w:rPr>
                <w:sz w:val="24"/>
                <w:szCs w:val="24"/>
              </w:rPr>
            </w:pPr>
          </w:p>
        </w:tc>
      </w:tr>
      <w:tr w:rsidR="00052952" w14:paraId="583E0D84" w14:textId="77777777" w:rsidTr="00052952">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E3A6D" w14:textId="77777777" w:rsidR="00052952" w:rsidRDefault="00052952">
            <w:pPr>
              <w:jc w:val="center"/>
              <w:rPr>
                <w:sz w:val="24"/>
                <w:szCs w:val="24"/>
              </w:rPr>
            </w:pPr>
            <w:hyperlink r:id="rId58" w:history="1">
              <w:r>
                <w:rPr>
                  <w:rStyle w:val="Hyperlink"/>
                  <w:sz w:val="24"/>
                  <w:szCs w:val="24"/>
                </w:rPr>
                <w:t>H 3219</w:t>
              </w:r>
            </w:hyperlink>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7A7427E2" w14:textId="77777777" w:rsidR="00052952" w:rsidRDefault="00052952">
            <w:pPr>
              <w:jc w:val="center"/>
              <w:rPr>
                <w:sz w:val="24"/>
                <w:szCs w:val="24"/>
              </w:rPr>
            </w:pPr>
            <w:r>
              <w:rPr>
                <w:sz w:val="24"/>
                <w:szCs w:val="24"/>
              </w:rPr>
              <w:t>Collins</w:t>
            </w:r>
          </w:p>
        </w:tc>
        <w:tc>
          <w:tcPr>
            <w:tcW w:w="8053" w:type="dxa"/>
            <w:tcBorders>
              <w:top w:val="nil"/>
              <w:left w:val="nil"/>
              <w:bottom w:val="single" w:sz="8" w:space="0" w:color="auto"/>
              <w:right w:val="single" w:sz="8" w:space="0" w:color="auto"/>
            </w:tcBorders>
            <w:tcMar>
              <w:top w:w="0" w:type="dxa"/>
              <w:left w:w="108" w:type="dxa"/>
              <w:bottom w:w="0" w:type="dxa"/>
              <w:right w:w="108" w:type="dxa"/>
            </w:tcMar>
          </w:tcPr>
          <w:p w14:paraId="552B0375" w14:textId="77777777" w:rsidR="00052952" w:rsidRDefault="00052952">
            <w:pPr>
              <w:rPr>
                <w:sz w:val="24"/>
                <w:szCs w:val="24"/>
              </w:rPr>
            </w:pPr>
            <w:r>
              <w:rPr>
                <w:b/>
                <w:bCs/>
                <w:sz w:val="24"/>
                <w:szCs w:val="24"/>
              </w:rPr>
              <w:t>Foster Care:</w:t>
            </w:r>
            <w:r>
              <w:rPr>
                <w:sz w:val="24"/>
                <w:szCs w:val="24"/>
              </w:rPr>
              <w:t xml:space="preserve"> Directs SC DSS to establish program to help foster care teens get driver’s license, addresses liability issues, provides immunity for foster parents</w:t>
            </w:r>
          </w:p>
          <w:p w14:paraId="6E30912B" w14:textId="77777777" w:rsidR="00052952" w:rsidRDefault="00052952">
            <w:pPr>
              <w:rPr>
                <w:sz w:val="24"/>
                <w:szCs w:val="24"/>
              </w:rPr>
            </w:pPr>
          </w:p>
        </w:tc>
      </w:tr>
      <w:tr w:rsidR="00052952" w14:paraId="3A3007B9" w14:textId="77777777" w:rsidTr="00052952">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95432" w14:textId="77777777" w:rsidR="00052952" w:rsidRDefault="00052952">
            <w:pPr>
              <w:jc w:val="center"/>
              <w:rPr>
                <w:sz w:val="24"/>
                <w:szCs w:val="24"/>
                <w:u w:val="single"/>
              </w:rPr>
            </w:pPr>
            <w:hyperlink r:id="rId59" w:history="1">
              <w:r>
                <w:rPr>
                  <w:rStyle w:val="Hyperlink"/>
                  <w:sz w:val="24"/>
                  <w:szCs w:val="24"/>
                </w:rPr>
                <w:t>H 3371</w:t>
              </w:r>
            </w:hyperlink>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183FFACD" w14:textId="77777777" w:rsidR="00052952" w:rsidRDefault="00052952">
            <w:pPr>
              <w:jc w:val="center"/>
              <w:rPr>
                <w:sz w:val="24"/>
                <w:szCs w:val="24"/>
              </w:rPr>
            </w:pPr>
            <w:r>
              <w:rPr>
                <w:sz w:val="24"/>
                <w:szCs w:val="24"/>
              </w:rPr>
              <w:t xml:space="preserve">West </w:t>
            </w:r>
          </w:p>
        </w:tc>
        <w:tc>
          <w:tcPr>
            <w:tcW w:w="8053" w:type="dxa"/>
            <w:tcBorders>
              <w:top w:val="nil"/>
              <w:left w:val="nil"/>
              <w:bottom w:val="single" w:sz="8" w:space="0" w:color="auto"/>
              <w:right w:val="single" w:sz="8" w:space="0" w:color="auto"/>
            </w:tcBorders>
            <w:tcMar>
              <w:top w:w="0" w:type="dxa"/>
              <w:left w:w="108" w:type="dxa"/>
              <w:bottom w:w="0" w:type="dxa"/>
              <w:right w:w="108" w:type="dxa"/>
            </w:tcMar>
            <w:hideMark/>
          </w:tcPr>
          <w:p w14:paraId="69854EE1" w14:textId="77777777" w:rsidR="00052952" w:rsidRDefault="00052952">
            <w:pPr>
              <w:rPr>
                <w:sz w:val="24"/>
                <w:szCs w:val="24"/>
              </w:rPr>
            </w:pPr>
            <w:r>
              <w:rPr>
                <w:b/>
                <w:bCs/>
                <w:sz w:val="24"/>
                <w:szCs w:val="24"/>
              </w:rPr>
              <w:t>Reporting Infants Affected by Substance Use:</w:t>
            </w:r>
            <w:r>
              <w:rPr>
                <w:sz w:val="24"/>
                <w:szCs w:val="24"/>
              </w:rPr>
              <w:t xml:space="preserve"> Requires healthcare provider to report to DSS a child, birth to 1 year, diagnosed with NAS or fetal alcohol syndrome or who is medically affected by prenatal exposure to a substance, controlled or illegal, or withdrawal from a substance.  The report must be made regardless of whether the exposure constitutes abuse.  </w:t>
            </w:r>
            <w:r>
              <w:rPr>
                <w:i/>
                <w:iCs/>
                <w:sz w:val="24"/>
                <w:szCs w:val="24"/>
              </w:rPr>
              <w:t>Note:  Federal law requires reporting to facilitate the development of a safe plan of care for the infant</w:t>
            </w:r>
            <w:r>
              <w:rPr>
                <w:sz w:val="24"/>
                <w:szCs w:val="24"/>
              </w:rPr>
              <w:t xml:space="preserve">. </w:t>
            </w:r>
            <w:r>
              <w:rPr>
                <w:i/>
                <w:iCs/>
                <w:sz w:val="24"/>
                <w:szCs w:val="24"/>
              </w:rPr>
              <w:t>DSS is trying to address through policy but many feel state legislation is needed to ensure compliance.</w:t>
            </w:r>
            <w:r>
              <w:rPr>
                <w:sz w:val="24"/>
                <w:szCs w:val="24"/>
              </w:rPr>
              <w:t xml:space="preserve">   </w:t>
            </w:r>
          </w:p>
        </w:tc>
      </w:tr>
    </w:tbl>
    <w:p w14:paraId="5FA512F4" w14:textId="77777777" w:rsidR="00052952" w:rsidRDefault="00052952" w:rsidP="00052952">
      <w:pPr>
        <w:jc w:val="center"/>
        <w:rPr>
          <w:b/>
          <w:bCs/>
          <w:color w:val="C00000"/>
          <w:sz w:val="28"/>
          <w:szCs w:val="28"/>
        </w:rPr>
      </w:pPr>
    </w:p>
    <w:p w14:paraId="5AD5172C" w14:textId="77777777" w:rsidR="00052952" w:rsidRDefault="00052952" w:rsidP="00052952">
      <w:pPr>
        <w:rPr>
          <w:b/>
          <w:bCs/>
          <w:color w:val="C00000"/>
          <w:sz w:val="28"/>
          <w:szCs w:val="28"/>
        </w:rPr>
      </w:pPr>
      <w:r>
        <w:rPr>
          <w:b/>
          <w:bCs/>
          <w:color w:val="C00000"/>
          <w:sz w:val="28"/>
          <w:szCs w:val="28"/>
        </w:rPr>
        <w:t>Child Health and Safety</w:t>
      </w:r>
    </w:p>
    <w:tbl>
      <w:tblPr>
        <w:tblW w:w="10885" w:type="dxa"/>
        <w:tblCellMar>
          <w:left w:w="0" w:type="dxa"/>
          <w:right w:w="0" w:type="dxa"/>
        </w:tblCellMar>
        <w:tblLook w:val="04A0" w:firstRow="1" w:lastRow="0" w:firstColumn="1" w:lastColumn="0" w:noHBand="0" w:noVBand="1"/>
      </w:tblPr>
      <w:tblGrid>
        <w:gridCol w:w="1075"/>
        <w:gridCol w:w="1080"/>
        <w:gridCol w:w="8730"/>
      </w:tblGrid>
      <w:tr w:rsidR="00052952" w14:paraId="4852E7F6" w14:textId="77777777" w:rsidTr="00052952">
        <w:tc>
          <w:tcPr>
            <w:tcW w:w="1075"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14:paraId="3BE6C87A" w14:textId="77777777" w:rsidR="00052952" w:rsidRDefault="00052952">
            <w:pPr>
              <w:rPr>
                <w:b/>
                <w:bCs/>
                <w:color w:val="FFFFFF"/>
                <w:sz w:val="24"/>
                <w:szCs w:val="24"/>
              </w:rPr>
            </w:pPr>
            <w:r>
              <w:rPr>
                <w:b/>
                <w:bCs/>
                <w:color w:val="FFFFFF"/>
                <w:sz w:val="24"/>
                <w:szCs w:val="24"/>
              </w:rPr>
              <w:t>Bill #</w:t>
            </w:r>
          </w:p>
        </w:tc>
        <w:tc>
          <w:tcPr>
            <w:tcW w:w="1080" w:type="dxa"/>
            <w:tcBorders>
              <w:top w:val="single" w:sz="8" w:space="0" w:color="auto"/>
              <w:left w:val="nil"/>
              <w:bottom w:val="single" w:sz="8" w:space="0" w:color="auto"/>
              <w:right w:val="single" w:sz="8" w:space="0" w:color="auto"/>
            </w:tcBorders>
            <w:shd w:val="clear" w:color="auto" w:fill="4472C4"/>
            <w:tcMar>
              <w:top w:w="0" w:type="dxa"/>
              <w:left w:w="108" w:type="dxa"/>
              <w:bottom w:w="0" w:type="dxa"/>
              <w:right w:w="108" w:type="dxa"/>
            </w:tcMar>
            <w:hideMark/>
          </w:tcPr>
          <w:p w14:paraId="1FA5D3D4" w14:textId="77777777" w:rsidR="00052952" w:rsidRDefault="00052952">
            <w:pPr>
              <w:rPr>
                <w:b/>
                <w:bCs/>
                <w:color w:val="FFFFFF"/>
                <w:sz w:val="24"/>
                <w:szCs w:val="24"/>
              </w:rPr>
            </w:pPr>
            <w:r>
              <w:rPr>
                <w:b/>
                <w:bCs/>
                <w:color w:val="FFFFFF"/>
                <w:sz w:val="24"/>
                <w:szCs w:val="24"/>
              </w:rPr>
              <w:t>Sponsor</w:t>
            </w:r>
          </w:p>
        </w:tc>
        <w:tc>
          <w:tcPr>
            <w:tcW w:w="8730" w:type="dxa"/>
            <w:tcBorders>
              <w:top w:val="single" w:sz="8" w:space="0" w:color="auto"/>
              <w:left w:val="nil"/>
              <w:bottom w:val="single" w:sz="8" w:space="0" w:color="auto"/>
              <w:right w:val="single" w:sz="8" w:space="0" w:color="auto"/>
            </w:tcBorders>
            <w:shd w:val="clear" w:color="auto" w:fill="4472C4"/>
            <w:tcMar>
              <w:top w:w="0" w:type="dxa"/>
              <w:left w:w="108" w:type="dxa"/>
              <w:bottom w:w="0" w:type="dxa"/>
              <w:right w:w="108" w:type="dxa"/>
            </w:tcMar>
            <w:hideMark/>
          </w:tcPr>
          <w:p w14:paraId="37BC27E2" w14:textId="77777777" w:rsidR="00052952" w:rsidRDefault="00052952">
            <w:pPr>
              <w:rPr>
                <w:b/>
                <w:bCs/>
                <w:color w:val="FFFFFF"/>
                <w:sz w:val="24"/>
                <w:szCs w:val="24"/>
              </w:rPr>
            </w:pPr>
            <w:r>
              <w:rPr>
                <w:b/>
                <w:bCs/>
                <w:color w:val="FFFFFF"/>
                <w:sz w:val="24"/>
                <w:szCs w:val="24"/>
              </w:rPr>
              <w:t>Description</w:t>
            </w:r>
          </w:p>
        </w:tc>
      </w:tr>
      <w:tr w:rsidR="00052952" w14:paraId="14528CDA" w14:textId="77777777" w:rsidTr="00052952">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9A08F" w14:textId="77777777" w:rsidR="00052952" w:rsidRDefault="00052952">
            <w:pPr>
              <w:jc w:val="center"/>
              <w:rPr>
                <w:sz w:val="24"/>
                <w:szCs w:val="24"/>
              </w:rPr>
            </w:pPr>
            <w:hyperlink r:id="rId60" w:history="1">
              <w:r>
                <w:rPr>
                  <w:rStyle w:val="Hyperlink"/>
                  <w:sz w:val="24"/>
                  <w:szCs w:val="24"/>
                </w:rPr>
                <w:t>S 6</w:t>
              </w:r>
            </w:hyperlink>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3B15FC6" w14:textId="77777777" w:rsidR="00052952" w:rsidRDefault="00052952">
            <w:pPr>
              <w:jc w:val="center"/>
              <w:rPr>
                <w:sz w:val="24"/>
                <w:szCs w:val="24"/>
              </w:rPr>
            </w:pPr>
            <w:r>
              <w:rPr>
                <w:sz w:val="24"/>
                <w:szCs w:val="24"/>
              </w:rPr>
              <w:t>Jackson</w:t>
            </w:r>
          </w:p>
        </w:tc>
        <w:tc>
          <w:tcPr>
            <w:tcW w:w="8730" w:type="dxa"/>
            <w:tcBorders>
              <w:top w:val="nil"/>
              <w:left w:val="nil"/>
              <w:bottom w:val="single" w:sz="8" w:space="0" w:color="auto"/>
              <w:right w:val="single" w:sz="8" w:space="0" w:color="auto"/>
            </w:tcBorders>
            <w:tcMar>
              <w:top w:w="0" w:type="dxa"/>
              <w:left w:w="108" w:type="dxa"/>
              <w:bottom w:w="0" w:type="dxa"/>
              <w:right w:w="108" w:type="dxa"/>
            </w:tcMar>
          </w:tcPr>
          <w:p w14:paraId="36B3EFE5" w14:textId="77777777" w:rsidR="00052952" w:rsidRDefault="00052952">
            <w:pPr>
              <w:rPr>
                <w:sz w:val="24"/>
                <w:szCs w:val="24"/>
              </w:rPr>
            </w:pPr>
            <w:r>
              <w:rPr>
                <w:b/>
                <w:bCs/>
                <w:sz w:val="24"/>
                <w:szCs w:val="24"/>
              </w:rPr>
              <w:t>Tobacco:</w:t>
            </w:r>
            <w:r>
              <w:rPr>
                <w:sz w:val="24"/>
                <w:szCs w:val="24"/>
              </w:rPr>
              <w:t xml:space="preserve"> Unlawful to smoke a tobacco product with minor in a vehicle.  This would presumably include vaping products.</w:t>
            </w:r>
          </w:p>
          <w:p w14:paraId="3006EA2D" w14:textId="77777777" w:rsidR="00052952" w:rsidRDefault="00052952">
            <w:pPr>
              <w:rPr>
                <w:sz w:val="24"/>
                <w:szCs w:val="24"/>
              </w:rPr>
            </w:pPr>
          </w:p>
        </w:tc>
      </w:tr>
      <w:tr w:rsidR="00052952" w14:paraId="7C956E18" w14:textId="77777777" w:rsidTr="00052952">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24C21" w14:textId="77777777" w:rsidR="00052952" w:rsidRDefault="00052952">
            <w:pPr>
              <w:jc w:val="center"/>
              <w:rPr>
                <w:sz w:val="24"/>
                <w:szCs w:val="24"/>
              </w:rPr>
            </w:pPr>
            <w:hyperlink r:id="rId61" w:history="1">
              <w:r>
                <w:rPr>
                  <w:rStyle w:val="Hyperlink"/>
                  <w:sz w:val="24"/>
                  <w:szCs w:val="24"/>
                </w:rPr>
                <w:t>S 26</w:t>
              </w:r>
            </w:hyperlink>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35F6C07" w14:textId="77777777" w:rsidR="00052952" w:rsidRDefault="00052952">
            <w:pPr>
              <w:jc w:val="center"/>
              <w:rPr>
                <w:sz w:val="24"/>
                <w:szCs w:val="24"/>
              </w:rPr>
            </w:pPr>
            <w:r>
              <w:rPr>
                <w:sz w:val="24"/>
                <w:szCs w:val="24"/>
              </w:rPr>
              <w:t>Hutto</w:t>
            </w:r>
          </w:p>
        </w:tc>
        <w:tc>
          <w:tcPr>
            <w:tcW w:w="8730" w:type="dxa"/>
            <w:tcBorders>
              <w:top w:val="nil"/>
              <w:left w:val="nil"/>
              <w:bottom w:val="single" w:sz="8" w:space="0" w:color="auto"/>
              <w:right w:val="single" w:sz="8" w:space="0" w:color="auto"/>
            </w:tcBorders>
            <w:tcMar>
              <w:top w:w="0" w:type="dxa"/>
              <w:left w:w="108" w:type="dxa"/>
              <w:bottom w:w="0" w:type="dxa"/>
              <w:right w:w="108" w:type="dxa"/>
            </w:tcMar>
          </w:tcPr>
          <w:p w14:paraId="4EBFFA72" w14:textId="77777777" w:rsidR="00052952" w:rsidRDefault="00052952">
            <w:pPr>
              <w:rPr>
                <w:sz w:val="24"/>
                <w:szCs w:val="24"/>
              </w:rPr>
            </w:pPr>
            <w:r>
              <w:rPr>
                <w:b/>
                <w:bCs/>
                <w:sz w:val="24"/>
                <w:szCs w:val="24"/>
              </w:rPr>
              <w:t>Tanning Beds:</w:t>
            </w:r>
            <w:r>
              <w:rPr>
                <w:sz w:val="24"/>
                <w:szCs w:val="24"/>
              </w:rPr>
              <w:t xml:space="preserve"> Prevents minors under the age of 18 years from using tanning machines; requires tanning salons request IDs</w:t>
            </w:r>
          </w:p>
          <w:p w14:paraId="35F7C034" w14:textId="77777777" w:rsidR="00052952" w:rsidRDefault="00052952">
            <w:pPr>
              <w:rPr>
                <w:sz w:val="24"/>
                <w:szCs w:val="24"/>
              </w:rPr>
            </w:pPr>
          </w:p>
        </w:tc>
      </w:tr>
      <w:tr w:rsidR="00052952" w14:paraId="38F885A2" w14:textId="77777777" w:rsidTr="00052952">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D7B71" w14:textId="77777777" w:rsidR="00052952" w:rsidRDefault="00052952">
            <w:pPr>
              <w:jc w:val="center"/>
              <w:rPr>
                <w:sz w:val="24"/>
                <w:szCs w:val="24"/>
              </w:rPr>
            </w:pPr>
            <w:hyperlink r:id="rId62" w:history="1">
              <w:r>
                <w:rPr>
                  <w:rStyle w:val="Hyperlink"/>
                  <w:sz w:val="24"/>
                  <w:szCs w:val="24"/>
                </w:rPr>
                <w:t>S 23</w:t>
              </w:r>
            </w:hyperlink>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965671C" w14:textId="77777777" w:rsidR="00052952" w:rsidRDefault="00052952">
            <w:pPr>
              <w:jc w:val="center"/>
              <w:rPr>
                <w:sz w:val="24"/>
                <w:szCs w:val="24"/>
              </w:rPr>
            </w:pPr>
            <w:r>
              <w:rPr>
                <w:sz w:val="24"/>
                <w:szCs w:val="24"/>
              </w:rPr>
              <w:t>Hutto</w:t>
            </w:r>
          </w:p>
        </w:tc>
        <w:tc>
          <w:tcPr>
            <w:tcW w:w="8730" w:type="dxa"/>
            <w:tcBorders>
              <w:top w:val="nil"/>
              <w:left w:val="nil"/>
              <w:bottom w:val="single" w:sz="8" w:space="0" w:color="auto"/>
              <w:right w:val="single" w:sz="8" w:space="0" w:color="auto"/>
            </w:tcBorders>
            <w:tcMar>
              <w:top w:w="0" w:type="dxa"/>
              <w:left w:w="108" w:type="dxa"/>
              <w:bottom w:w="0" w:type="dxa"/>
              <w:right w:w="108" w:type="dxa"/>
            </w:tcMar>
          </w:tcPr>
          <w:p w14:paraId="62315478" w14:textId="77777777" w:rsidR="00052952" w:rsidRDefault="00052952">
            <w:pPr>
              <w:rPr>
                <w:sz w:val="24"/>
                <w:szCs w:val="24"/>
              </w:rPr>
            </w:pPr>
            <w:r>
              <w:rPr>
                <w:b/>
                <w:bCs/>
                <w:sz w:val="24"/>
                <w:szCs w:val="24"/>
              </w:rPr>
              <w:t>Gun Safety:</w:t>
            </w:r>
            <w:r>
              <w:rPr>
                <w:sz w:val="24"/>
                <w:szCs w:val="24"/>
              </w:rPr>
              <w:t xml:space="preserve"> Prohibit possession or discharge of firearm within 1,000 feet of a school without express permission from authorities in charge of the premises. </w:t>
            </w:r>
          </w:p>
          <w:p w14:paraId="19825B62" w14:textId="77777777" w:rsidR="00052952" w:rsidRDefault="00052952">
            <w:pPr>
              <w:rPr>
                <w:sz w:val="24"/>
                <w:szCs w:val="24"/>
              </w:rPr>
            </w:pPr>
          </w:p>
        </w:tc>
      </w:tr>
      <w:tr w:rsidR="00052952" w14:paraId="7D0157F8" w14:textId="77777777" w:rsidTr="00052952">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B792F" w14:textId="77777777" w:rsidR="00052952" w:rsidRDefault="00052952">
            <w:pPr>
              <w:jc w:val="center"/>
              <w:rPr>
                <w:sz w:val="24"/>
                <w:szCs w:val="24"/>
              </w:rPr>
            </w:pPr>
            <w:hyperlink r:id="rId63" w:history="1">
              <w:r>
                <w:rPr>
                  <w:rStyle w:val="Hyperlink"/>
                  <w:sz w:val="24"/>
                  <w:szCs w:val="24"/>
                </w:rPr>
                <w:t>S 231</w:t>
              </w:r>
            </w:hyperlink>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BD4D80A" w14:textId="77777777" w:rsidR="00052952" w:rsidRDefault="00052952">
            <w:pPr>
              <w:jc w:val="center"/>
              <w:rPr>
                <w:sz w:val="24"/>
                <w:szCs w:val="24"/>
              </w:rPr>
            </w:pPr>
            <w:r>
              <w:rPr>
                <w:sz w:val="24"/>
                <w:szCs w:val="24"/>
              </w:rPr>
              <w:t>Shealy</w:t>
            </w:r>
          </w:p>
        </w:tc>
        <w:tc>
          <w:tcPr>
            <w:tcW w:w="8730" w:type="dxa"/>
            <w:tcBorders>
              <w:top w:val="nil"/>
              <w:left w:val="nil"/>
              <w:bottom w:val="single" w:sz="8" w:space="0" w:color="auto"/>
              <w:right w:val="single" w:sz="8" w:space="0" w:color="auto"/>
            </w:tcBorders>
            <w:tcMar>
              <w:top w:w="0" w:type="dxa"/>
              <w:left w:w="108" w:type="dxa"/>
              <w:bottom w:w="0" w:type="dxa"/>
              <w:right w:w="108" w:type="dxa"/>
            </w:tcMar>
          </w:tcPr>
          <w:p w14:paraId="5F70DAE9" w14:textId="77777777" w:rsidR="00052952" w:rsidRDefault="00052952">
            <w:pPr>
              <w:rPr>
                <w:sz w:val="24"/>
                <w:szCs w:val="24"/>
              </w:rPr>
            </w:pPr>
            <w:r>
              <w:rPr>
                <w:b/>
                <w:bCs/>
                <w:sz w:val="24"/>
                <w:szCs w:val="24"/>
              </w:rPr>
              <w:t>Suicide:</w:t>
            </w:r>
            <w:r>
              <w:rPr>
                <w:sz w:val="24"/>
                <w:szCs w:val="24"/>
              </w:rPr>
              <w:t xml:space="preserve"> Requires student school ID cards to have the national suicide hotline number </w:t>
            </w:r>
          </w:p>
          <w:p w14:paraId="078B106A" w14:textId="77777777" w:rsidR="00052952" w:rsidRDefault="00052952">
            <w:pPr>
              <w:rPr>
                <w:sz w:val="24"/>
                <w:szCs w:val="24"/>
              </w:rPr>
            </w:pPr>
          </w:p>
        </w:tc>
      </w:tr>
      <w:tr w:rsidR="00052952" w14:paraId="0C739FBF" w14:textId="77777777" w:rsidTr="00052952">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8BE67" w14:textId="77777777" w:rsidR="00052952" w:rsidRDefault="00052952">
            <w:pPr>
              <w:jc w:val="center"/>
              <w:rPr>
                <w:sz w:val="24"/>
                <w:szCs w:val="24"/>
              </w:rPr>
            </w:pPr>
            <w:hyperlink r:id="rId64" w:history="1">
              <w:r>
                <w:rPr>
                  <w:rStyle w:val="Hyperlink"/>
                  <w:sz w:val="24"/>
                  <w:szCs w:val="24"/>
                </w:rPr>
                <w:t>H 3166</w:t>
              </w:r>
            </w:hyperlink>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9CD5240" w14:textId="77777777" w:rsidR="00052952" w:rsidRDefault="00052952">
            <w:pPr>
              <w:jc w:val="center"/>
              <w:rPr>
                <w:sz w:val="24"/>
                <w:szCs w:val="24"/>
              </w:rPr>
            </w:pPr>
            <w:r>
              <w:rPr>
                <w:sz w:val="24"/>
                <w:szCs w:val="24"/>
              </w:rPr>
              <w:t>King</w:t>
            </w:r>
          </w:p>
        </w:tc>
        <w:tc>
          <w:tcPr>
            <w:tcW w:w="8730" w:type="dxa"/>
            <w:tcBorders>
              <w:top w:val="nil"/>
              <w:left w:val="nil"/>
              <w:bottom w:val="single" w:sz="8" w:space="0" w:color="auto"/>
              <w:right w:val="single" w:sz="8" w:space="0" w:color="auto"/>
            </w:tcBorders>
            <w:tcMar>
              <w:top w:w="0" w:type="dxa"/>
              <w:left w:w="108" w:type="dxa"/>
              <w:bottom w:w="0" w:type="dxa"/>
              <w:right w:w="108" w:type="dxa"/>
            </w:tcMar>
          </w:tcPr>
          <w:p w14:paraId="54D96379" w14:textId="77777777" w:rsidR="00052952" w:rsidRDefault="00052952">
            <w:pPr>
              <w:rPr>
                <w:sz w:val="24"/>
                <w:szCs w:val="24"/>
              </w:rPr>
            </w:pPr>
            <w:r>
              <w:rPr>
                <w:b/>
                <w:bCs/>
                <w:sz w:val="24"/>
                <w:szCs w:val="24"/>
              </w:rPr>
              <w:t>Sickle cell:</w:t>
            </w:r>
            <w:r>
              <w:rPr>
                <w:sz w:val="24"/>
                <w:szCs w:val="24"/>
              </w:rPr>
              <w:t xml:space="preserve"> Directs SC DHEC to establish the Rena Grant Sickle Cell Voluntary Patient Registry </w:t>
            </w:r>
          </w:p>
          <w:p w14:paraId="32CA0D79" w14:textId="77777777" w:rsidR="00052952" w:rsidRDefault="00052952">
            <w:pPr>
              <w:rPr>
                <w:sz w:val="24"/>
                <w:szCs w:val="24"/>
              </w:rPr>
            </w:pPr>
          </w:p>
        </w:tc>
      </w:tr>
      <w:tr w:rsidR="00052952" w14:paraId="13A8B54F" w14:textId="77777777" w:rsidTr="00052952">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40C1F" w14:textId="77777777" w:rsidR="00052952" w:rsidRDefault="00052952">
            <w:pPr>
              <w:jc w:val="center"/>
              <w:rPr>
                <w:sz w:val="24"/>
                <w:szCs w:val="24"/>
              </w:rPr>
            </w:pPr>
            <w:hyperlink r:id="rId65" w:history="1">
              <w:r>
                <w:rPr>
                  <w:rStyle w:val="Hyperlink"/>
                  <w:sz w:val="24"/>
                  <w:szCs w:val="24"/>
                </w:rPr>
                <w:t>H 3234</w:t>
              </w:r>
            </w:hyperlink>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E11E1C5" w14:textId="77777777" w:rsidR="00052952" w:rsidRDefault="00052952">
            <w:pPr>
              <w:jc w:val="center"/>
              <w:rPr>
                <w:sz w:val="24"/>
                <w:szCs w:val="24"/>
              </w:rPr>
            </w:pPr>
            <w:r>
              <w:rPr>
                <w:sz w:val="24"/>
                <w:szCs w:val="24"/>
              </w:rPr>
              <w:t>Huggins</w:t>
            </w:r>
          </w:p>
        </w:tc>
        <w:tc>
          <w:tcPr>
            <w:tcW w:w="8730" w:type="dxa"/>
            <w:tcBorders>
              <w:top w:val="nil"/>
              <w:left w:val="nil"/>
              <w:bottom w:val="single" w:sz="8" w:space="0" w:color="auto"/>
              <w:right w:val="single" w:sz="8" w:space="0" w:color="auto"/>
            </w:tcBorders>
            <w:tcMar>
              <w:top w:w="0" w:type="dxa"/>
              <w:left w:w="108" w:type="dxa"/>
              <w:bottom w:w="0" w:type="dxa"/>
              <w:right w:w="108" w:type="dxa"/>
            </w:tcMar>
          </w:tcPr>
          <w:p w14:paraId="6F0F1A9B" w14:textId="77777777" w:rsidR="00052952" w:rsidRDefault="00052952">
            <w:pPr>
              <w:rPr>
                <w:sz w:val="24"/>
                <w:szCs w:val="24"/>
              </w:rPr>
            </w:pPr>
            <w:r>
              <w:rPr>
                <w:b/>
                <w:bCs/>
                <w:sz w:val="24"/>
                <w:szCs w:val="24"/>
              </w:rPr>
              <w:t>Hearing Aid Coverage for Children Act –</w:t>
            </w:r>
            <w:r>
              <w:rPr>
                <w:sz w:val="24"/>
                <w:szCs w:val="24"/>
              </w:rPr>
              <w:t xml:space="preserve"> requires hearing aid coverage by group health insurance and group health benefit plans. </w:t>
            </w:r>
          </w:p>
          <w:p w14:paraId="317C968F" w14:textId="77777777" w:rsidR="00052952" w:rsidRDefault="00052952">
            <w:pPr>
              <w:rPr>
                <w:sz w:val="24"/>
                <w:szCs w:val="24"/>
              </w:rPr>
            </w:pPr>
          </w:p>
        </w:tc>
      </w:tr>
      <w:tr w:rsidR="00052952" w14:paraId="0345E999" w14:textId="77777777" w:rsidTr="00052952">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04482" w14:textId="77777777" w:rsidR="00052952" w:rsidRDefault="00052952">
            <w:pPr>
              <w:jc w:val="center"/>
              <w:rPr>
                <w:sz w:val="24"/>
                <w:szCs w:val="24"/>
              </w:rPr>
            </w:pPr>
            <w:hyperlink r:id="rId66" w:history="1">
              <w:r>
                <w:rPr>
                  <w:rStyle w:val="Hyperlink"/>
                  <w:sz w:val="24"/>
                  <w:szCs w:val="24"/>
                </w:rPr>
                <w:t>H 3245</w:t>
              </w:r>
            </w:hyperlink>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E90FA88" w14:textId="77777777" w:rsidR="00052952" w:rsidRDefault="00052952">
            <w:pPr>
              <w:jc w:val="center"/>
              <w:rPr>
                <w:sz w:val="24"/>
                <w:szCs w:val="24"/>
              </w:rPr>
            </w:pPr>
            <w:r>
              <w:rPr>
                <w:sz w:val="24"/>
                <w:szCs w:val="24"/>
              </w:rPr>
              <w:t>Collins</w:t>
            </w:r>
          </w:p>
        </w:tc>
        <w:tc>
          <w:tcPr>
            <w:tcW w:w="8730" w:type="dxa"/>
            <w:tcBorders>
              <w:top w:val="nil"/>
              <w:left w:val="nil"/>
              <w:bottom w:val="single" w:sz="8" w:space="0" w:color="auto"/>
              <w:right w:val="single" w:sz="8" w:space="0" w:color="auto"/>
            </w:tcBorders>
            <w:tcMar>
              <w:top w:w="0" w:type="dxa"/>
              <w:left w:w="108" w:type="dxa"/>
              <w:bottom w:w="0" w:type="dxa"/>
              <w:right w:w="108" w:type="dxa"/>
            </w:tcMar>
          </w:tcPr>
          <w:p w14:paraId="3AE7FBF0" w14:textId="77777777" w:rsidR="00052952" w:rsidRDefault="00052952">
            <w:pPr>
              <w:rPr>
                <w:sz w:val="24"/>
                <w:szCs w:val="24"/>
              </w:rPr>
            </w:pPr>
            <w:r>
              <w:rPr>
                <w:b/>
                <w:bCs/>
                <w:sz w:val="24"/>
                <w:szCs w:val="24"/>
              </w:rPr>
              <w:t>School &amp; PE:</w:t>
            </w:r>
            <w:r>
              <w:rPr>
                <w:sz w:val="24"/>
                <w:szCs w:val="24"/>
              </w:rPr>
              <w:t xml:space="preserve"> Increases physical activity requirements for students and prohibits school day from starting before 8:30 a.m.</w:t>
            </w:r>
          </w:p>
          <w:p w14:paraId="70B8F96E" w14:textId="77777777" w:rsidR="00052952" w:rsidRDefault="00052952">
            <w:pPr>
              <w:rPr>
                <w:sz w:val="24"/>
                <w:szCs w:val="24"/>
              </w:rPr>
            </w:pPr>
          </w:p>
        </w:tc>
      </w:tr>
      <w:tr w:rsidR="00052952" w14:paraId="121D5683" w14:textId="77777777" w:rsidTr="00052952">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F5725" w14:textId="77777777" w:rsidR="00052952" w:rsidRDefault="00052952">
            <w:pPr>
              <w:jc w:val="center"/>
              <w:rPr>
                <w:sz w:val="24"/>
                <w:szCs w:val="24"/>
              </w:rPr>
            </w:pPr>
            <w:hyperlink r:id="rId67" w:history="1">
              <w:r>
                <w:rPr>
                  <w:rStyle w:val="Hyperlink"/>
                  <w:sz w:val="24"/>
                  <w:szCs w:val="24"/>
                </w:rPr>
                <w:t>H 3464</w:t>
              </w:r>
            </w:hyperlink>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95EE1A3" w14:textId="77777777" w:rsidR="00052952" w:rsidRDefault="00052952">
            <w:pPr>
              <w:jc w:val="center"/>
              <w:rPr>
                <w:sz w:val="24"/>
                <w:szCs w:val="24"/>
              </w:rPr>
            </w:pPr>
            <w:r>
              <w:rPr>
                <w:sz w:val="24"/>
                <w:szCs w:val="24"/>
              </w:rPr>
              <w:t>Gilliam</w:t>
            </w:r>
          </w:p>
        </w:tc>
        <w:tc>
          <w:tcPr>
            <w:tcW w:w="8730" w:type="dxa"/>
            <w:tcBorders>
              <w:top w:val="nil"/>
              <w:left w:val="nil"/>
              <w:bottom w:val="single" w:sz="8" w:space="0" w:color="auto"/>
              <w:right w:val="single" w:sz="8" w:space="0" w:color="auto"/>
            </w:tcBorders>
            <w:tcMar>
              <w:top w:w="0" w:type="dxa"/>
              <w:left w:w="108" w:type="dxa"/>
              <w:bottom w:w="0" w:type="dxa"/>
              <w:right w:w="108" w:type="dxa"/>
            </w:tcMar>
            <w:hideMark/>
          </w:tcPr>
          <w:p w14:paraId="580307B9" w14:textId="77777777" w:rsidR="00052952" w:rsidRDefault="00052952">
            <w:pPr>
              <w:rPr>
                <w:sz w:val="24"/>
                <w:szCs w:val="24"/>
              </w:rPr>
            </w:pPr>
            <w:r>
              <w:rPr>
                <w:b/>
                <w:bCs/>
                <w:sz w:val="24"/>
                <w:szCs w:val="24"/>
                <w:u w:val="single"/>
              </w:rPr>
              <w:t>Seizure Safe Schools Act:</w:t>
            </w:r>
            <w:r>
              <w:rPr>
                <w:sz w:val="24"/>
                <w:szCs w:val="24"/>
              </w:rPr>
              <w:t xml:space="preserve">  Based on the Epilepsy Foundation’s Seizure Safe Schools Initiative, this bill requires the establishment of seizure action plans in public schools, providing requirements for the action plans.    The action plan must include the name of the student, the seizure medicine prescribed, dosage and method of administration, symptoms necessitating administration of the seizure rescue medicine, and a written statement from parent whether school personnel or volunteers meeting training requirements are permitted to administer the medicine.  </w:t>
            </w:r>
          </w:p>
          <w:p w14:paraId="074C386D" w14:textId="77777777" w:rsidR="00052952" w:rsidRDefault="00052952">
            <w:pPr>
              <w:rPr>
                <w:sz w:val="24"/>
                <w:szCs w:val="24"/>
              </w:rPr>
            </w:pPr>
            <w:r>
              <w:rPr>
                <w:sz w:val="24"/>
                <w:szCs w:val="24"/>
              </w:rPr>
              <w:t>  </w:t>
            </w:r>
          </w:p>
        </w:tc>
      </w:tr>
      <w:tr w:rsidR="00052952" w14:paraId="236FEDCA" w14:textId="77777777" w:rsidTr="00052952">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C99D0" w14:textId="77777777" w:rsidR="00052952" w:rsidRDefault="00052952">
            <w:pPr>
              <w:jc w:val="center"/>
              <w:rPr>
                <w:sz w:val="24"/>
                <w:szCs w:val="24"/>
              </w:rPr>
            </w:pPr>
            <w:hyperlink r:id="rId68" w:history="1">
              <w:r>
                <w:rPr>
                  <w:rStyle w:val="Hyperlink"/>
                  <w:sz w:val="24"/>
                  <w:szCs w:val="24"/>
                </w:rPr>
                <w:t>H 3336</w:t>
              </w:r>
            </w:hyperlink>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EF57935" w14:textId="77777777" w:rsidR="00052952" w:rsidRDefault="00052952">
            <w:pPr>
              <w:jc w:val="center"/>
              <w:rPr>
                <w:sz w:val="24"/>
                <w:szCs w:val="24"/>
              </w:rPr>
            </w:pPr>
            <w:r>
              <w:rPr>
                <w:sz w:val="24"/>
                <w:szCs w:val="24"/>
              </w:rPr>
              <w:t>GM Smith</w:t>
            </w:r>
          </w:p>
        </w:tc>
        <w:tc>
          <w:tcPr>
            <w:tcW w:w="8730" w:type="dxa"/>
            <w:tcBorders>
              <w:top w:val="nil"/>
              <w:left w:val="nil"/>
              <w:bottom w:val="single" w:sz="8" w:space="0" w:color="auto"/>
              <w:right w:val="single" w:sz="8" w:space="0" w:color="auto"/>
            </w:tcBorders>
            <w:tcMar>
              <w:top w:w="0" w:type="dxa"/>
              <w:left w:w="108" w:type="dxa"/>
              <w:bottom w:w="0" w:type="dxa"/>
              <w:right w:w="108" w:type="dxa"/>
            </w:tcMar>
          </w:tcPr>
          <w:p w14:paraId="3A37CC62" w14:textId="77777777" w:rsidR="00052952" w:rsidRDefault="00052952">
            <w:pPr>
              <w:rPr>
                <w:sz w:val="24"/>
                <w:szCs w:val="24"/>
              </w:rPr>
            </w:pPr>
            <w:r>
              <w:rPr>
                <w:b/>
                <w:bCs/>
                <w:sz w:val="24"/>
                <w:szCs w:val="24"/>
              </w:rPr>
              <w:t>Diabetes in School:</w:t>
            </w:r>
            <w:r>
              <w:rPr>
                <w:sz w:val="24"/>
                <w:szCs w:val="24"/>
              </w:rPr>
              <w:t xml:space="preserve"> Allows trained volunteer school personnel to administer glucagon, insulin, or both to certain students diagnosed with diabetes.   </w:t>
            </w:r>
          </w:p>
          <w:p w14:paraId="09A8952F" w14:textId="77777777" w:rsidR="00052952" w:rsidRDefault="00052952">
            <w:pPr>
              <w:rPr>
                <w:sz w:val="24"/>
                <w:szCs w:val="24"/>
              </w:rPr>
            </w:pPr>
          </w:p>
        </w:tc>
      </w:tr>
      <w:tr w:rsidR="00052952" w14:paraId="6D1B63EB" w14:textId="77777777" w:rsidTr="00052952">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021D53" w14:textId="77777777" w:rsidR="00052952" w:rsidRDefault="00052952">
            <w:pPr>
              <w:rPr>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42BC2CF" w14:textId="77777777" w:rsidR="00052952" w:rsidRDefault="00052952">
            <w:pPr>
              <w:rPr>
                <w:sz w:val="24"/>
                <w:szCs w:val="24"/>
              </w:rPr>
            </w:pPr>
          </w:p>
        </w:tc>
        <w:tc>
          <w:tcPr>
            <w:tcW w:w="8730" w:type="dxa"/>
            <w:tcBorders>
              <w:top w:val="nil"/>
              <w:left w:val="nil"/>
              <w:bottom w:val="single" w:sz="8" w:space="0" w:color="auto"/>
              <w:right w:val="single" w:sz="8" w:space="0" w:color="auto"/>
            </w:tcBorders>
            <w:tcMar>
              <w:top w:w="0" w:type="dxa"/>
              <w:left w:w="108" w:type="dxa"/>
              <w:bottom w:w="0" w:type="dxa"/>
              <w:right w:w="108" w:type="dxa"/>
            </w:tcMar>
          </w:tcPr>
          <w:p w14:paraId="3DDD47E1" w14:textId="77777777" w:rsidR="00052952" w:rsidRDefault="00052952">
            <w:pPr>
              <w:rPr>
                <w:sz w:val="24"/>
                <w:szCs w:val="24"/>
              </w:rPr>
            </w:pPr>
          </w:p>
        </w:tc>
      </w:tr>
    </w:tbl>
    <w:p w14:paraId="4ED51EC3" w14:textId="77777777" w:rsidR="00052952" w:rsidRDefault="00052952" w:rsidP="00052952">
      <w:pPr>
        <w:rPr>
          <w:sz w:val="24"/>
          <w:szCs w:val="24"/>
        </w:rPr>
      </w:pPr>
    </w:p>
    <w:p w14:paraId="610A0A5C" w14:textId="77777777" w:rsidR="00052952" w:rsidRDefault="00052952" w:rsidP="00052952">
      <w:pPr>
        <w:rPr>
          <w:b/>
          <w:bCs/>
          <w:color w:val="C00000"/>
          <w:sz w:val="28"/>
          <w:szCs w:val="28"/>
        </w:rPr>
      </w:pPr>
      <w:r>
        <w:rPr>
          <w:b/>
          <w:bCs/>
          <w:color w:val="C00000"/>
          <w:sz w:val="28"/>
          <w:szCs w:val="28"/>
        </w:rPr>
        <w:t>Perinatal</w:t>
      </w:r>
    </w:p>
    <w:tbl>
      <w:tblPr>
        <w:tblW w:w="0" w:type="auto"/>
        <w:tblCellMar>
          <w:left w:w="0" w:type="dxa"/>
          <w:right w:w="0" w:type="dxa"/>
        </w:tblCellMar>
        <w:tblLook w:val="04A0" w:firstRow="1" w:lastRow="0" w:firstColumn="1" w:lastColumn="0" w:noHBand="0" w:noVBand="1"/>
      </w:tblPr>
      <w:tblGrid>
        <w:gridCol w:w="940"/>
        <w:gridCol w:w="1375"/>
        <w:gridCol w:w="7025"/>
      </w:tblGrid>
      <w:tr w:rsidR="00052952" w14:paraId="358CE1D6" w14:textId="77777777" w:rsidTr="00052952">
        <w:tc>
          <w:tcPr>
            <w:tcW w:w="985" w:type="dxa"/>
            <w:tcBorders>
              <w:top w:val="single" w:sz="8" w:space="0" w:color="auto"/>
              <w:left w:val="single" w:sz="8" w:space="0" w:color="auto"/>
              <w:bottom w:val="single" w:sz="8" w:space="0" w:color="auto"/>
              <w:right w:val="single" w:sz="8" w:space="0" w:color="auto"/>
            </w:tcBorders>
            <w:shd w:val="clear" w:color="auto" w:fill="538135"/>
            <w:tcMar>
              <w:top w:w="0" w:type="dxa"/>
              <w:left w:w="108" w:type="dxa"/>
              <w:bottom w:w="0" w:type="dxa"/>
              <w:right w:w="108" w:type="dxa"/>
            </w:tcMar>
            <w:hideMark/>
          </w:tcPr>
          <w:p w14:paraId="593C5E5C" w14:textId="77777777" w:rsidR="00052952" w:rsidRDefault="00052952">
            <w:pPr>
              <w:jc w:val="center"/>
              <w:rPr>
                <w:b/>
                <w:bCs/>
                <w:color w:val="FFFFFF"/>
                <w:sz w:val="24"/>
                <w:szCs w:val="24"/>
              </w:rPr>
            </w:pPr>
            <w:r>
              <w:rPr>
                <w:b/>
                <w:bCs/>
                <w:color w:val="FFFFFF"/>
                <w:sz w:val="24"/>
                <w:szCs w:val="24"/>
              </w:rPr>
              <w:t>Bill #</w:t>
            </w:r>
          </w:p>
        </w:tc>
        <w:tc>
          <w:tcPr>
            <w:tcW w:w="1440" w:type="dxa"/>
            <w:tcBorders>
              <w:top w:val="single" w:sz="8" w:space="0" w:color="auto"/>
              <w:left w:val="nil"/>
              <w:bottom w:val="single" w:sz="8" w:space="0" w:color="auto"/>
              <w:right w:val="single" w:sz="8" w:space="0" w:color="auto"/>
            </w:tcBorders>
            <w:shd w:val="clear" w:color="auto" w:fill="538135"/>
            <w:tcMar>
              <w:top w:w="0" w:type="dxa"/>
              <w:left w:w="108" w:type="dxa"/>
              <w:bottom w:w="0" w:type="dxa"/>
              <w:right w:w="108" w:type="dxa"/>
            </w:tcMar>
            <w:hideMark/>
          </w:tcPr>
          <w:p w14:paraId="7BFCE1AF" w14:textId="77777777" w:rsidR="00052952" w:rsidRDefault="00052952">
            <w:pPr>
              <w:jc w:val="center"/>
              <w:rPr>
                <w:b/>
                <w:bCs/>
                <w:color w:val="FFFFFF"/>
                <w:sz w:val="24"/>
                <w:szCs w:val="24"/>
              </w:rPr>
            </w:pPr>
            <w:r>
              <w:rPr>
                <w:b/>
                <w:bCs/>
                <w:color w:val="FFFFFF"/>
                <w:sz w:val="24"/>
                <w:szCs w:val="24"/>
              </w:rPr>
              <w:t>Sponsor</w:t>
            </w:r>
          </w:p>
        </w:tc>
        <w:tc>
          <w:tcPr>
            <w:tcW w:w="7830" w:type="dxa"/>
            <w:tcBorders>
              <w:top w:val="single" w:sz="8" w:space="0" w:color="auto"/>
              <w:left w:val="nil"/>
              <w:bottom w:val="single" w:sz="8" w:space="0" w:color="auto"/>
              <w:right w:val="single" w:sz="8" w:space="0" w:color="auto"/>
            </w:tcBorders>
            <w:shd w:val="clear" w:color="auto" w:fill="538135"/>
            <w:tcMar>
              <w:top w:w="0" w:type="dxa"/>
              <w:left w:w="108" w:type="dxa"/>
              <w:bottom w:w="0" w:type="dxa"/>
              <w:right w:w="108" w:type="dxa"/>
            </w:tcMar>
            <w:hideMark/>
          </w:tcPr>
          <w:p w14:paraId="2F6AF6DA" w14:textId="77777777" w:rsidR="00052952" w:rsidRDefault="00052952">
            <w:pPr>
              <w:rPr>
                <w:b/>
                <w:bCs/>
                <w:color w:val="FFFFFF"/>
                <w:sz w:val="24"/>
                <w:szCs w:val="24"/>
              </w:rPr>
            </w:pPr>
            <w:r>
              <w:rPr>
                <w:b/>
                <w:bCs/>
                <w:color w:val="FFFFFF"/>
                <w:sz w:val="24"/>
                <w:szCs w:val="24"/>
              </w:rPr>
              <w:t>Description</w:t>
            </w:r>
          </w:p>
        </w:tc>
      </w:tr>
      <w:tr w:rsidR="00052952" w14:paraId="5B47B203"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0A402" w14:textId="77777777" w:rsidR="00052952" w:rsidRDefault="00052952">
            <w:pPr>
              <w:jc w:val="center"/>
              <w:rPr>
                <w:sz w:val="24"/>
                <w:szCs w:val="24"/>
              </w:rPr>
            </w:pPr>
            <w:hyperlink r:id="rId69" w:history="1">
              <w:r>
                <w:rPr>
                  <w:rStyle w:val="Hyperlink"/>
                  <w:sz w:val="24"/>
                  <w:szCs w:val="24"/>
                </w:rPr>
                <w:t>S 379</w:t>
              </w:r>
            </w:hyperlink>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160D5B1" w14:textId="77777777" w:rsidR="00052952" w:rsidRDefault="00052952">
            <w:pPr>
              <w:jc w:val="center"/>
              <w:rPr>
                <w:sz w:val="24"/>
                <w:szCs w:val="24"/>
              </w:rPr>
            </w:pPr>
            <w:r>
              <w:rPr>
                <w:sz w:val="24"/>
                <w:szCs w:val="24"/>
              </w:rPr>
              <w:t>Cash</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4AF2AF9B" w14:textId="77777777" w:rsidR="00052952" w:rsidRDefault="00052952">
            <w:pPr>
              <w:rPr>
                <w:sz w:val="24"/>
                <w:szCs w:val="24"/>
              </w:rPr>
            </w:pPr>
            <w:r>
              <w:rPr>
                <w:b/>
                <w:bCs/>
                <w:sz w:val="24"/>
                <w:szCs w:val="24"/>
              </w:rPr>
              <w:t>Midwives:</w:t>
            </w:r>
            <w:r>
              <w:rPr>
                <w:sz w:val="24"/>
                <w:szCs w:val="24"/>
              </w:rPr>
              <w:t xml:space="preserve"> Requires DHEC to promulgate regs to integrate midwives into perinatal care regulations in 61-16.   Requires policies and protocols concerning transfer of pregnant woman from birthing center to hospital. </w:t>
            </w:r>
          </w:p>
        </w:tc>
      </w:tr>
      <w:tr w:rsidR="00052952" w14:paraId="4131809E"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4FBB9" w14:textId="77777777" w:rsidR="00052952" w:rsidRDefault="00052952">
            <w:pPr>
              <w:jc w:val="center"/>
              <w:rPr>
                <w:sz w:val="24"/>
                <w:szCs w:val="24"/>
              </w:rPr>
            </w:pPr>
            <w:hyperlink r:id="rId70" w:history="1">
              <w:r>
                <w:rPr>
                  <w:rStyle w:val="Hyperlink"/>
                  <w:sz w:val="24"/>
                  <w:szCs w:val="24"/>
                </w:rPr>
                <w:t>H 3225</w:t>
              </w:r>
            </w:hyperlink>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0B9D1DB" w14:textId="77777777" w:rsidR="00052952" w:rsidRDefault="00052952">
            <w:pPr>
              <w:jc w:val="center"/>
              <w:rPr>
                <w:sz w:val="24"/>
                <w:szCs w:val="24"/>
              </w:rPr>
            </w:pPr>
            <w:r>
              <w:rPr>
                <w:sz w:val="24"/>
                <w:szCs w:val="24"/>
              </w:rPr>
              <w:t>Garvin</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03B49CBF" w14:textId="77777777" w:rsidR="00052952" w:rsidRDefault="00052952">
            <w:pPr>
              <w:rPr>
                <w:sz w:val="24"/>
                <w:szCs w:val="24"/>
              </w:rPr>
            </w:pPr>
            <w:r>
              <w:rPr>
                <w:b/>
                <w:bCs/>
                <w:sz w:val="24"/>
                <w:szCs w:val="24"/>
              </w:rPr>
              <w:t>SC Dignity in Pregnancy and Childbirth Act</w:t>
            </w:r>
            <w:r>
              <w:rPr>
                <w:sz w:val="24"/>
                <w:szCs w:val="24"/>
              </w:rPr>
              <w:t>, requires implicit bias training</w:t>
            </w:r>
          </w:p>
          <w:p w14:paraId="42EE0B3A" w14:textId="77777777" w:rsidR="00052952" w:rsidRDefault="00052952">
            <w:pPr>
              <w:rPr>
                <w:sz w:val="24"/>
                <w:szCs w:val="24"/>
              </w:rPr>
            </w:pPr>
          </w:p>
        </w:tc>
      </w:tr>
      <w:tr w:rsidR="00052952" w14:paraId="6D555550"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0115B" w14:textId="77777777" w:rsidR="00052952" w:rsidRDefault="00052952">
            <w:pPr>
              <w:jc w:val="center"/>
              <w:rPr>
                <w:sz w:val="24"/>
                <w:szCs w:val="24"/>
              </w:rPr>
            </w:pPr>
            <w:hyperlink r:id="rId71" w:history="1">
              <w:r>
                <w:rPr>
                  <w:rStyle w:val="Hyperlink"/>
                  <w:sz w:val="24"/>
                  <w:szCs w:val="24"/>
                </w:rPr>
                <w:t>H 3232</w:t>
              </w:r>
            </w:hyperlink>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0468F60" w14:textId="77777777" w:rsidR="00052952" w:rsidRDefault="00052952">
            <w:pPr>
              <w:jc w:val="center"/>
              <w:rPr>
                <w:sz w:val="24"/>
                <w:szCs w:val="24"/>
              </w:rPr>
            </w:pPr>
            <w:r>
              <w:rPr>
                <w:sz w:val="24"/>
                <w:szCs w:val="24"/>
              </w:rPr>
              <w:t>Hill</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4DF71C02" w14:textId="77777777" w:rsidR="00052952" w:rsidRDefault="00052952">
            <w:pPr>
              <w:rPr>
                <w:sz w:val="24"/>
                <w:szCs w:val="24"/>
              </w:rPr>
            </w:pPr>
            <w:r>
              <w:rPr>
                <w:b/>
                <w:bCs/>
                <w:sz w:val="24"/>
                <w:szCs w:val="24"/>
              </w:rPr>
              <w:t>Perinatal Integration Act of 2021:</w:t>
            </w:r>
            <w:r>
              <w:rPr>
                <w:sz w:val="24"/>
                <w:szCs w:val="24"/>
              </w:rPr>
              <w:t xml:space="preserve">  Requires DHEC to promulgate regulations to integrate midwives into the organization of perinatal levels of care; defines “integrate” </w:t>
            </w:r>
          </w:p>
          <w:p w14:paraId="1BFA532B" w14:textId="77777777" w:rsidR="00052952" w:rsidRDefault="00052952">
            <w:pPr>
              <w:rPr>
                <w:sz w:val="24"/>
                <w:szCs w:val="24"/>
              </w:rPr>
            </w:pPr>
          </w:p>
        </w:tc>
      </w:tr>
      <w:tr w:rsidR="00052952" w14:paraId="05E8A3BD"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6BCD8" w14:textId="77777777" w:rsidR="00052952" w:rsidRDefault="00052952">
            <w:pPr>
              <w:jc w:val="center"/>
              <w:rPr>
                <w:sz w:val="24"/>
                <w:szCs w:val="24"/>
              </w:rPr>
            </w:pPr>
            <w:hyperlink r:id="rId72" w:history="1">
              <w:r>
                <w:rPr>
                  <w:rStyle w:val="Hyperlink"/>
                  <w:sz w:val="24"/>
                  <w:szCs w:val="24"/>
                </w:rPr>
                <w:t>H 3233</w:t>
              </w:r>
            </w:hyperlink>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677A221" w14:textId="77777777" w:rsidR="00052952" w:rsidRDefault="00052952">
            <w:pPr>
              <w:jc w:val="center"/>
              <w:rPr>
                <w:sz w:val="24"/>
                <w:szCs w:val="24"/>
              </w:rPr>
            </w:pPr>
            <w:r>
              <w:rPr>
                <w:sz w:val="24"/>
                <w:szCs w:val="24"/>
              </w:rPr>
              <w:t>Howard</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1693A8FA" w14:textId="77777777" w:rsidR="00052952" w:rsidRDefault="00052952">
            <w:pPr>
              <w:rPr>
                <w:sz w:val="24"/>
                <w:szCs w:val="24"/>
              </w:rPr>
            </w:pPr>
            <w:r>
              <w:rPr>
                <w:b/>
                <w:bCs/>
                <w:sz w:val="24"/>
                <w:szCs w:val="24"/>
              </w:rPr>
              <w:t>SC DHEC Newborn Screening Advisory committee</w:t>
            </w:r>
            <w:r>
              <w:rPr>
                <w:sz w:val="24"/>
                <w:szCs w:val="24"/>
              </w:rPr>
              <w:t xml:space="preserve"> changes to “Newborn Screening and Rare Disease Council. The council is charged </w:t>
            </w:r>
            <w:r>
              <w:rPr>
                <w:sz w:val="24"/>
                <w:szCs w:val="24"/>
              </w:rPr>
              <w:lastRenderedPageBreak/>
              <w:t>with, in addition to newborn screening, to advise on the research, diagnosis treatment, and education relating to rare diseases.  New council members include an emergency room physician, a “medical researcher with experience conducting research concerning rare diseases”, at least two persons age 18+ with a rare disease, at least one caregiver of a person with a rare disease, and at least three representatives from rare disease patient organizations</w:t>
            </w:r>
            <w:r>
              <w:rPr>
                <w:i/>
                <w:iCs/>
                <w:sz w:val="24"/>
                <w:szCs w:val="24"/>
              </w:rPr>
              <w:t xml:space="preserve">.   Note:  </w:t>
            </w:r>
            <w:proofErr w:type="gramStart"/>
            <w:r>
              <w:rPr>
                <w:i/>
                <w:iCs/>
                <w:sz w:val="24"/>
                <w:szCs w:val="24"/>
              </w:rPr>
              <w:t>I’ve</w:t>
            </w:r>
            <w:proofErr w:type="gramEnd"/>
            <w:r>
              <w:rPr>
                <w:i/>
                <w:iCs/>
                <w:sz w:val="24"/>
                <w:szCs w:val="24"/>
              </w:rPr>
              <w:t xml:space="preserve"> already reached out with concerns regarding this bill.  As this bill is sponsored by a committee chairman, I do expect it to be scheduled for subcommittee action.   </w:t>
            </w:r>
          </w:p>
          <w:p w14:paraId="39C64242" w14:textId="77777777" w:rsidR="00052952" w:rsidRDefault="00052952">
            <w:pPr>
              <w:rPr>
                <w:sz w:val="24"/>
                <w:szCs w:val="24"/>
              </w:rPr>
            </w:pPr>
          </w:p>
        </w:tc>
      </w:tr>
      <w:tr w:rsidR="00052952" w14:paraId="72CB9290"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E4142" w14:textId="77777777" w:rsidR="00052952" w:rsidRDefault="00052952">
            <w:pPr>
              <w:jc w:val="center"/>
              <w:rPr>
                <w:sz w:val="24"/>
                <w:szCs w:val="24"/>
              </w:rPr>
            </w:pPr>
            <w:hyperlink r:id="rId73" w:history="1">
              <w:r>
                <w:rPr>
                  <w:rStyle w:val="Hyperlink"/>
                  <w:sz w:val="24"/>
                  <w:szCs w:val="24"/>
                </w:rPr>
                <w:t>H 3510</w:t>
              </w:r>
            </w:hyperlink>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17A5247" w14:textId="77777777" w:rsidR="00052952" w:rsidRDefault="00052952">
            <w:pPr>
              <w:jc w:val="center"/>
              <w:rPr>
                <w:sz w:val="24"/>
                <w:szCs w:val="24"/>
              </w:rPr>
            </w:pPr>
            <w:r>
              <w:rPr>
                <w:sz w:val="24"/>
                <w:szCs w:val="24"/>
              </w:rPr>
              <w:t>Hill</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1CB32458" w14:textId="77777777" w:rsidR="00052952" w:rsidRDefault="00052952">
            <w:pPr>
              <w:rPr>
                <w:sz w:val="24"/>
                <w:szCs w:val="24"/>
              </w:rPr>
            </w:pPr>
            <w:r>
              <w:rPr>
                <w:b/>
                <w:bCs/>
                <w:sz w:val="24"/>
                <w:szCs w:val="24"/>
              </w:rPr>
              <w:t>Midwife Practice Act:</w:t>
            </w:r>
            <w:r>
              <w:rPr>
                <w:sz w:val="24"/>
                <w:szCs w:val="24"/>
              </w:rPr>
              <w:t xml:space="preserve">    Establishes the board of midwifery within DHEC, practice and licensure requirements, gives DHEC the authority to promulgate regulations. </w:t>
            </w:r>
          </w:p>
          <w:p w14:paraId="1F860070" w14:textId="77777777" w:rsidR="00052952" w:rsidRDefault="00052952">
            <w:pPr>
              <w:rPr>
                <w:sz w:val="24"/>
                <w:szCs w:val="24"/>
              </w:rPr>
            </w:pPr>
          </w:p>
        </w:tc>
      </w:tr>
      <w:tr w:rsidR="00052952" w14:paraId="6DCB8834"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2A244" w14:textId="77777777" w:rsidR="00052952" w:rsidRDefault="00052952">
            <w:pPr>
              <w:jc w:val="center"/>
              <w:rPr>
                <w:sz w:val="24"/>
                <w:szCs w:val="24"/>
              </w:rPr>
            </w:pPr>
            <w:hyperlink r:id="rId74" w:history="1">
              <w:r>
                <w:rPr>
                  <w:rStyle w:val="Hyperlink"/>
                  <w:sz w:val="24"/>
                  <w:szCs w:val="24"/>
                </w:rPr>
                <w:t>H 3371</w:t>
              </w:r>
            </w:hyperlink>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3D7B93B" w14:textId="77777777" w:rsidR="00052952" w:rsidRDefault="00052952">
            <w:pPr>
              <w:jc w:val="center"/>
              <w:rPr>
                <w:sz w:val="24"/>
                <w:szCs w:val="24"/>
              </w:rPr>
            </w:pPr>
            <w:r>
              <w:rPr>
                <w:sz w:val="24"/>
                <w:szCs w:val="24"/>
              </w:rPr>
              <w:t>West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35EA04EB" w14:textId="77777777" w:rsidR="00052952" w:rsidRDefault="00052952">
            <w:pPr>
              <w:rPr>
                <w:sz w:val="24"/>
                <w:szCs w:val="24"/>
              </w:rPr>
            </w:pPr>
            <w:r>
              <w:rPr>
                <w:b/>
                <w:bCs/>
                <w:sz w:val="24"/>
                <w:szCs w:val="24"/>
              </w:rPr>
              <w:t>Reporting Infants Affected by Substance Use:</w:t>
            </w:r>
            <w:r>
              <w:rPr>
                <w:sz w:val="24"/>
                <w:szCs w:val="24"/>
              </w:rPr>
              <w:t xml:space="preserve"> Requires healthcare provider to report to DSS a child, birth to 1 year, diagnosed with NAS or fetal alcohol syndrome or who is medically affected by prenatal exposure to a substance, controlled or illegal, or withdrawal from a substance.  The report must be made regardless of whether the exposure constitutes abuse.  </w:t>
            </w:r>
            <w:r>
              <w:rPr>
                <w:i/>
                <w:iCs/>
                <w:sz w:val="24"/>
                <w:szCs w:val="24"/>
              </w:rPr>
              <w:t>Note:  Federal law requires reporting to facilitate the development of a safe plan of care for the infant</w:t>
            </w:r>
            <w:r>
              <w:rPr>
                <w:sz w:val="24"/>
                <w:szCs w:val="24"/>
              </w:rPr>
              <w:t xml:space="preserve">. </w:t>
            </w:r>
          </w:p>
        </w:tc>
      </w:tr>
    </w:tbl>
    <w:p w14:paraId="3435351E" w14:textId="77777777" w:rsidR="00052952" w:rsidRDefault="00052952" w:rsidP="00052952">
      <w:pPr>
        <w:rPr>
          <w:sz w:val="24"/>
          <w:szCs w:val="24"/>
        </w:rPr>
      </w:pPr>
      <w:r>
        <w:rPr>
          <w:color w:val="000000"/>
        </w:rPr>
        <w:t xml:space="preserve">                </w:t>
      </w:r>
    </w:p>
    <w:p w14:paraId="78438E0C" w14:textId="77777777" w:rsidR="00052952" w:rsidRDefault="00052952" w:rsidP="00052952">
      <w:pPr>
        <w:rPr>
          <w:b/>
          <w:bCs/>
          <w:color w:val="C00000"/>
          <w:sz w:val="28"/>
          <w:szCs w:val="28"/>
        </w:rPr>
      </w:pPr>
      <w:r>
        <w:rPr>
          <w:b/>
          <w:bCs/>
          <w:color w:val="C00000"/>
          <w:sz w:val="28"/>
          <w:szCs w:val="28"/>
        </w:rPr>
        <w:t>Marijuana</w:t>
      </w:r>
    </w:p>
    <w:tbl>
      <w:tblPr>
        <w:tblW w:w="0" w:type="auto"/>
        <w:tblCellMar>
          <w:left w:w="0" w:type="dxa"/>
          <w:right w:w="0" w:type="dxa"/>
        </w:tblCellMar>
        <w:tblLook w:val="04A0" w:firstRow="1" w:lastRow="0" w:firstColumn="1" w:lastColumn="0" w:noHBand="0" w:noVBand="1"/>
      </w:tblPr>
      <w:tblGrid>
        <w:gridCol w:w="940"/>
        <w:gridCol w:w="1534"/>
        <w:gridCol w:w="6866"/>
      </w:tblGrid>
      <w:tr w:rsidR="00052952" w14:paraId="23097338" w14:textId="77777777" w:rsidTr="00052952">
        <w:tc>
          <w:tcPr>
            <w:tcW w:w="985" w:type="dxa"/>
            <w:tcBorders>
              <w:top w:val="single" w:sz="8" w:space="0" w:color="auto"/>
              <w:left w:val="single" w:sz="8" w:space="0" w:color="auto"/>
              <w:bottom w:val="single" w:sz="8" w:space="0" w:color="auto"/>
              <w:right w:val="single" w:sz="8" w:space="0" w:color="auto"/>
            </w:tcBorders>
            <w:shd w:val="clear" w:color="auto" w:fill="538135"/>
            <w:tcMar>
              <w:top w:w="0" w:type="dxa"/>
              <w:left w:w="108" w:type="dxa"/>
              <w:bottom w:w="0" w:type="dxa"/>
              <w:right w:w="108" w:type="dxa"/>
            </w:tcMar>
            <w:hideMark/>
          </w:tcPr>
          <w:p w14:paraId="52AD4D82" w14:textId="77777777" w:rsidR="00052952" w:rsidRDefault="00052952">
            <w:pPr>
              <w:jc w:val="center"/>
              <w:rPr>
                <w:color w:val="FFFFFF"/>
                <w:sz w:val="24"/>
                <w:szCs w:val="24"/>
              </w:rPr>
            </w:pPr>
            <w:r>
              <w:rPr>
                <w:color w:val="FFFFFF"/>
                <w:sz w:val="24"/>
                <w:szCs w:val="24"/>
              </w:rPr>
              <w:t>Bill #</w:t>
            </w:r>
          </w:p>
        </w:tc>
        <w:tc>
          <w:tcPr>
            <w:tcW w:w="1440" w:type="dxa"/>
            <w:tcBorders>
              <w:top w:val="single" w:sz="8" w:space="0" w:color="auto"/>
              <w:left w:val="nil"/>
              <w:bottom w:val="single" w:sz="8" w:space="0" w:color="auto"/>
              <w:right w:val="single" w:sz="8" w:space="0" w:color="auto"/>
            </w:tcBorders>
            <w:shd w:val="clear" w:color="auto" w:fill="538135"/>
            <w:tcMar>
              <w:top w:w="0" w:type="dxa"/>
              <w:left w:w="108" w:type="dxa"/>
              <w:bottom w:w="0" w:type="dxa"/>
              <w:right w:w="108" w:type="dxa"/>
            </w:tcMar>
            <w:hideMark/>
          </w:tcPr>
          <w:p w14:paraId="5D834479" w14:textId="77777777" w:rsidR="00052952" w:rsidRDefault="00052952">
            <w:pPr>
              <w:jc w:val="center"/>
              <w:rPr>
                <w:color w:val="FFFFFF"/>
                <w:sz w:val="24"/>
                <w:szCs w:val="24"/>
              </w:rPr>
            </w:pPr>
            <w:r>
              <w:rPr>
                <w:color w:val="FFFFFF"/>
                <w:sz w:val="24"/>
                <w:szCs w:val="24"/>
              </w:rPr>
              <w:t>Sponsor</w:t>
            </w:r>
          </w:p>
        </w:tc>
        <w:tc>
          <w:tcPr>
            <w:tcW w:w="7830" w:type="dxa"/>
            <w:tcBorders>
              <w:top w:val="single" w:sz="8" w:space="0" w:color="auto"/>
              <w:left w:val="nil"/>
              <w:bottom w:val="single" w:sz="8" w:space="0" w:color="auto"/>
              <w:right w:val="single" w:sz="8" w:space="0" w:color="auto"/>
            </w:tcBorders>
            <w:shd w:val="clear" w:color="auto" w:fill="538135"/>
            <w:tcMar>
              <w:top w:w="0" w:type="dxa"/>
              <w:left w:w="108" w:type="dxa"/>
              <w:bottom w:w="0" w:type="dxa"/>
              <w:right w:w="108" w:type="dxa"/>
            </w:tcMar>
            <w:hideMark/>
          </w:tcPr>
          <w:p w14:paraId="0FE6C468" w14:textId="77777777" w:rsidR="00052952" w:rsidRDefault="00052952">
            <w:pPr>
              <w:rPr>
                <w:color w:val="FFFFFF"/>
                <w:sz w:val="24"/>
                <w:szCs w:val="24"/>
              </w:rPr>
            </w:pPr>
            <w:r>
              <w:rPr>
                <w:color w:val="FFFFFF"/>
                <w:sz w:val="24"/>
                <w:szCs w:val="24"/>
              </w:rPr>
              <w:t>Description</w:t>
            </w:r>
          </w:p>
        </w:tc>
      </w:tr>
      <w:tr w:rsidR="00052952" w14:paraId="44765DA5"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5EFFB" w14:textId="77777777" w:rsidR="00052952" w:rsidRDefault="00052952">
            <w:pPr>
              <w:jc w:val="center"/>
              <w:rPr>
                <w:sz w:val="24"/>
                <w:szCs w:val="24"/>
              </w:rPr>
            </w:pPr>
            <w:hyperlink r:id="rId75" w:history="1">
              <w:r>
                <w:rPr>
                  <w:rStyle w:val="Hyperlink"/>
                  <w:sz w:val="24"/>
                  <w:szCs w:val="24"/>
                </w:rPr>
                <w:t>S 335</w:t>
              </w:r>
            </w:hyperlink>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F243258" w14:textId="77777777" w:rsidR="00052952" w:rsidRDefault="00052952">
            <w:pPr>
              <w:jc w:val="center"/>
              <w:rPr>
                <w:sz w:val="24"/>
                <w:szCs w:val="24"/>
              </w:rPr>
            </w:pPr>
            <w:r>
              <w:rPr>
                <w:sz w:val="24"/>
                <w:szCs w:val="24"/>
              </w:rPr>
              <w:t>McLeod</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0AAC42B9" w14:textId="77777777" w:rsidR="00052952" w:rsidRDefault="00052952">
            <w:pPr>
              <w:rPr>
                <w:sz w:val="24"/>
                <w:szCs w:val="24"/>
              </w:rPr>
            </w:pPr>
            <w:r>
              <w:rPr>
                <w:sz w:val="24"/>
                <w:szCs w:val="24"/>
              </w:rPr>
              <w:t>Decriminalizes and regulates marijuana</w:t>
            </w:r>
          </w:p>
          <w:p w14:paraId="0D886423" w14:textId="77777777" w:rsidR="00052952" w:rsidRDefault="00052952">
            <w:pPr>
              <w:rPr>
                <w:sz w:val="24"/>
                <w:szCs w:val="24"/>
              </w:rPr>
            </w:pPr>
          </w:p>
        </w:tc>
      </w:tr>
      <w:tr w:rsidR="00052952" w14:paraId="45BCBA15"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34EFF" w14:textId="77777777" w:rsidR="00052952" w:rsidRDefault="00052952">
            <w:pPr>
              <w:jc w:val="center"/>
              <w:rPr>
                <w:sz w:val="24"/>
                <w:szCs w:val="24"/>
              </w:rPr>
            </w:pPr>
            <w:hyperlink r:id="rId76" w:history="1">
              <w:r>
                <w:rPr>
                  <w:rStyle w:val="Hyperlink"/>
                  <w:sz w:val="24"/>
                  <w:szCs w:val="24"/>
                </w:rPr>
                <w:t>H 3174</w:t>
              </w:r>
            </w:hyperlink>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02A4E21" w14:textId="77777777" w:rsidR="00052952" w:rsidRDefault="00052952">
            <w:pPr>
              <w:jc w:val="center"/>
              <w:rPr>
                <w:sz w:val="24"/>
                <w:szCs w:val="24"/>
              </w:rPr>
            </w:pPr>
            <w:r>
              <w:rPr>
                <w:sz w:val="24"/>
                <w:szCs w:val="24"/>
              </w:rPr>
              <w:t>Rutherford</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4203F206" w14:textId="77777777" w:rsidR="00052952" w:rsidRDefault="00052952">
            <w:pPr>
              <w:rPr>
                <w:sz w:val="24"/>
                <w:szCs w:val="24"/>
              </w:rPr>
            </w:pPr>
            <w:r>
              <w:rPr>
                <w:sz w:val="24"/>
                <w:szCs w:val="24"/>
              </w:rPr>
              <w:t xml:space="preserve">Authorizes registered patients to use marijuana for medical purposes.  </w:t>
            </w:r>
          </w:p>
          <w:p w14:paraId="2C68A633" w14:textId="77777777" w:rsidR="00052952" w:rsidRDefault="00052952">
            <w:pPr>
              <w:rPr>
                <w:sz w:val="24"/>
                <w:szCs w:val="24"/>
              </w:rPr>
            </w:pPr>
          </w:p>
        </w:tc>
      </w:tr>
      <w:tr w:rsidR="00052952" w14:paraId="45ECD4BF"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BA35F" w14:textId="77777777" w:rsidR="00052952" w:rsidRDefault="00052952">
            <w:pPr>
              <w:jc w:val="center"/>
              <w:rPr>
                <w:sz w:val="24"/>
                <w:szCs w:val="24"/>
              </w:rPr>
            </w:pPr>
            <w:hyperlink r:id="rId77" w:history="1">
              <w:r>
                <w:rPr>
                  <w:rStyle w:val="Hyperlink"/>
                  <w:sz w:val="24"/>
                  <w:szCs w:val="24"/>
                </w:rPr>
                <w:t>H 3228</w:t>
              </w:r>
            </w:hyperlink>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EF77B5C" w14:textId="77777777" w:rsidR="00052952" w:rsidRDefault="00052952">
            <w:pPr>
              <w:jc w:val="center"/>
              <w:rPr>
                <w:sz w:val="24"/>
                <w:szCs w:val="24"/>
              </w:rPr>
            </w:pPr>
            <w:r>
              <w:rPr>
                <w:sz w:val="24"/>
                <w:szCs w:val="24"/>
              </w:rPr>
              <w:t>Henderson</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67443809" w14:textId="77777777" w:rsidR="00052952" w:rsidRDefault="00052952">
            <w:pPr>
              <w:rPr>
                <w:sz w:val="24"/>
                <w:szCs w:val="24"/>
              </w:rPr>
            </w:pPr>
            <w:r>
              <w:rPr>
                <w:sz w:val="24"/>
                <w:szCs w:val="24"/>
              </w:rPr>
              <w:t xml:space="preserve">Decriminalizes marijuana and hashish under a certain amount (&lt;1 oz of marijuana and &lt;10 grams of hashish) </w:t>
            </w:r>
          </w:p>
          <w:p w14:paraId="3F269347" w14:textId="77777777" w:rsidR="00052952" w:rsidRDefault="00052952">
            <w:pPr>
              <w:rPr>
                <w:sz w:val="24"/>
                <w:szCs w:val="24"/>
              </w:rPr>
            </w:pPr>
          </w:p>
        </w:tc>
      </w:tr>
      <w:tr w:rsidR="00052952" w14:paraId="1EC5CABB"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A87F1" w14:textId="77777777" w:rsidR="00052952" w:rsidRDefault="00052952">
            <w:pPr>
              <w:jc w:val="center"/>
              <w:rPr>
                <w:sz w:val="24"/>
                <w:szCs w:val="24"/>
              </w:rPr>
            </w:pPr>
            <w:hyperlink r:id="rId78" w:history="1">
              <w:r>
                <w:rPr>
                  <w:rStyle w:val="Hyperlink"/>
                  <w:sz w:val="24"/>
                  <w:szCs w:val="24"/>
                </w:rPr>
                <w:t>H 3361</w:t>
              </w:r>
            </w:hyperlink>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E2DF940" w14:textId="77777777" w:rsidR="00052952" w:rsidRDefault="00052952">
            <w:pPr>
              <w:jc w:val="center"/>
              <w:rPr>
                <w:sz w:val="24"/>
                <w:szCs w:val="24"/>
              </w:rPr>
            </w:pPr>
            <w:proofErr w:type="spellStart"/>
            <w:r>
              <w:rPr>
                <w:sz w:val="24"/>
                <w:szCs w:val="24"/>
              </w:rPr>
              <w:t>Herbkersman</w:t>
            </w:r>
            <w:proofErr w:type="spellEnd"/>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4BFD7C8" w14:textId="77777777" w:rsidR="00052952" w:rsidRDefault="00052952">
            <w:pPr>
              <w:rPr>
                <w:sz w:val="24"/>
                <w:szCs w:val="24"/>
              </w:rPr>
            </w:pPr>
            <w:r>
              <w:rPr>
                <w:b/>
                <w:bCs/>
                <w:sz w:val="24"/>
                <w:szCs w:val="24"/>
              </w:rPr>
              <w:t>SC Compassionate Care Act</w:t>
            </w:r>
            <w:r>
              <w:rPr>
                <w:sz w:val="24"/>
                <w:szCs w:val="24"/>
              </w:rPr>
              <w:t xml:space="preserve"> – establish medical cannabis program and requirements </w:t>
            </w:r>
          </w:p>
        </w:tc>
      </w:tr>
    </w:tbl>
    <w:p w14:paraId="24FF2ED1" w14:textId="77777777" w:rsidR="00052952" w:rsidRDefault="00052952" w:rsidP="00052952">
      <w:pPr>
        <w:rPr>
          <w:sz w:val="24"/>
          <w:szCs w:val="24"/>
        </w:rPr>
      </w:pPr>
    </w:p>
    <w:p w14:paraId="6CB3DB52" w14:textId="77777777" w:rsidR="00052952" w:rsidRDefault="00052952" w:rsidP="00052952">
      <w:pPr>
        <w:rPr>
          <w:b/>
          <w:bCs/>
          <w:color w:val="C00000"/>
          <w:sz w:val="28"/>
          <w:szCs w:val="28"/>
        </w:rPr>
      </w:pPr>
      <w:r>
        <w:rPr>
          <w:b/>
          <w:bCs/>
          <w:color w:val="C00000"/>
          <w:sz w:val="28"/>
          <w:szCs w:val="28"/>
        </w:rPr>
        <w:t>Vaccines, Telehealth, &amp; Practice Related</w:t>
      </w:r>
    </w:p>
    <w:tbl>
      <w:tblPr>
        <w:tblW w:w="0" w:type="auto"/>
        <w:tblCellMar>
          <w:left w:w="0" w:type="dxa"/>
          <w:right w:w="0" w:type="dxa"/>
        </w:tblCellMar>
        <w:tblLook w:val="04A0" w:firstRow="1" w:lastRow="0" w:firstColumn="1" w:lastColumn="0" w:noHBand="0" w:noVBand="1"/>
      </w:tblPr>
      <w:tblGrid>
        <w:gridCol w:w="1060"/>
        <w:gridCol w:w="1534"/>
        <w:gridCol w:w="6746"/>
      </w:tblGrid>
      <w:tr w:rsidR="00052952" w14:paraId="7F7D21FA" w14:textId="77777777" w:rsidTr="00052952">
        <w:tc>
          <w:tcPr>
            <w:tcW w:w="1165" w:type="dxa"/>
            <w:tcBorders>
              <w:top w:val="single" w:sz="8" w:space="0" w:color="auto"/>
              <w:left w:val="single" w:sz="8" w:space="0" w:color="auto"/>
              <w:bottom w:val="single" w:sz="8" w:space="0" w:color="auto"/>
              <w:right w:val="single" w:sz="8" w:space="0" w:color="auto"/>
            </w:tcBorders>
            <w:shd w:val="clear" w:color="auto" w:fill="C45911"/>
            <w:tcMar>
              <w:top w:w="0" w:type="dxa"/>
              <w:left w:w="108" w:type="dxa"/>
              <w:bottom w:w="0" w:type="dxa"/>
              <w:right w:w="108" w:type="dxa"/>
            </w:tcMar>
            <w:hideMark/>
          </w:tcPr>
          <w:p w14:paraId="4AF1B8FF" w14:textId="77777777" w:rsidR="00052952" w:rsidRDefault="00052952">
            <w:pPr>
              <w:jc w:val="center"/>
              <w:rPr>
                <w:b/>
                <w:bCs/>
                <w:color w:val="FFFFFF"/>
                <w:sz w:val="24"/>
                <w:szCs w:val="24"/>
              </w:rPr>
            </w:pPr>
            <w:r>
              <w:rPr>
                <w:b/>
                <w:bCs/>
                <w:color w:val="FFFFFF"/>
                <w:sz w:val="24"/>
                <w:szCs w:val="24"/>
              </w:rPr>
              <w:t>Bill #</w:t>
            </w:r>
          </w:p>
        </w:tc>
        <w:tc>
          <w:tcPr>
            <w:tcW w:w="1260" w:type="dxa"/>
            <w:tcBorders>
              <w:top w:val="single" w:sz="8" w:space="0" w:color="auto"/>
              <w:left w:val="nil"/>
              <w:bottom w:val="single" w:sz="8" w:space="0" w:color="auto"/>
              <w:right w:val="single" w:sz="8" w:space="0" w:color="auto"/>
            </w:tcBorders>
            <w:shd w:val="clear" w:color="auto" w:fill="C45911"/>
            <w:tcMar>
              <w:top w:w="0" w:type="dxa"/>
              <w:left w:w="108" w:type="dxa"/>
              <w:bottom w:w="0" w:type="dxa"/>
              <w:right w:w="108" w:type="dxa"/>
            </w:tcMar>
            <w:hideMark/>
          </w:tcPr>
          <w:p w14:paraId="3652F12B" w14:textId="77777777" w:rsidR="00052952" w:rsidRDefault="00052952">
            <w:pPr>
              <w:jc w:val="center"/>
              <w:rPr>
                <w:b/>
                <w:bCs/>
                <w:color w:val="FFFFFF"/>
                <w:sz w:val="24"/>
                <w:szCs w:val="24"/>
              </w:rPr>
            </w:pPr>
            <w:r>
              <w:rPr>
                <w:b/>
                <w:bCs/>
                <w:color w:val="FFFFFF"/>
                <w:sz w:val="24"/>
                <w:szCs w:val="24"/>
              </w:rPr>
              <w:t>Sponsor</w:t>
            </w:r>
          </w:p>
        </w:tc>
        <w:tc>
          <w:tcPr>
            <w:tcW w:w="8010" w:type="dxa"/>
            <w:tcBorders>
              <w:top w:val="single" w:sz="8" w:space="0" w:color="auto"/>
              <w:left w:val="nil"/>
              <w:bottom w:val="single" w:sz="8" w:space="0" w:color="auto"/>
              <w:right w:val="single" w:sz="8" w:space="0" w:color="auto"/>
            </w:tcBorders>
            <w:shd w:val="clear" w:color="auto" w:fill="C45911"/>
            <w:tcMar>
              <w:top w:w="0" w:type="dxa"/>
              <w:left w:w="108" w:type="dxa"/>
              <w:bottom w:w="0" w:type="dxa"/>
              <w:right w:w="108" w:type="dxa"/>
            </w:tcMar>
            <w:hideMark/>
          </w:tcPr>
          <w:p w14:paraId="26FAD2FE" w14:textId="77777777" w:rsidR="00052952" w:rsidRDefault="00052952">
            <w:pPr>
              <w:rPr>
                <w:b/>
                <w:bCs/>
                <w:color w:val="FFFFFF"/>
                <w:sz w:val="24"/>
                <w:szCs w:val="24"/>
              </w:rPr>
            </w:pPr>
            <w:r>
              <w:rPr>
                <w:b/>
                <w:bCs/>
                <w:color w:val="FFFFFF"/>
                <w:sz w:val="24"/>
                <w:szCs w:val="24"/>
              </w:rPr>
              <w:t>Description</w:t>
            </w:r>
          </w:p>
        </w:tc>
      </w:tr>
      <w:tr w:rsidR="00052952" w14:paraId="322459E7" w14:textId="77777777" w:rsidTr="00052952">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D6D80" w14:textId="77777777" w:rsidR="00052952" w:rsidRDefault="00052952">
            <w:pPr>
              <w:jc w:val="center"/>
              <w:rPr>
                <w:sz w:val="24"/>
                <w:szCs w:val="24"/>
              </w:rPr>
            </w:pPr>
            <w:hyperlink r:id="rId79" w:history="1">
              <w:r>
                <w:rPr>
                  <w:rStyle w:val="Hyperlink"/>
                  <w:sz w:val="24"/>
                  <w:szCs w:val="24"/>
                </w:rPr>
                <w:t>S 151</w:t>
              </w:r>
            </w:hyperlink>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2AEC71B" w14:textId="77777777" w:rsidR="00052952" w:rsidRDefault="00052952">
            <w:pPr>
              <w:jc w:val="center"/>
              <w:rPr>
                <w:sz w:val="24"/>
                <w:szCs w:val="24"/>
              </w:rPr>
            </w:pPr>
            <w:r>
              <w:rPr>
                <w:sz w:val="24"/>
                <w:szCs w:val="24"/>
              </w:rPr>
              <w:t>Davis</w:t>
            </w:r>
          </w:p>
        </w:tc>
        <w:tc>
          <w:tcPr>
            <w:tcW w:w="8010" w:type="dxa"/>
            <w:tcBorders>
              <w:top w:val="nil"/>
              <w:left w:val="nil"/>
              <w:bottom w:val="single" w:sz="8" w:space="0" w:color="auto"/>
              <w:right w:val="single" w:sz="8" w:space="0" w:color="auto"/>
            </w:tcBorders>
            <w:tcMar>
              <w:top w:w="0" w:type="dxa"/>
              <w:left w:w="108" w:type="dxa"/>
              <w:bottom w:w="0" w:type="dxa"/>
              <w:right w:w="108" w:type="dxa"/>
            </w:tcMar>
          </w:tcPr>
          <w:p w14:paraId="5619172C" w14:textId="77777777" w:rsidR="00052952" w:rsidRDefault="00052952">
            <w:pPr>
              <w:rPr>
                <w:sz w:val="24"/>
                <w:szCs w:val="24"/>
              </w:rPr>
            </w:pPr>
            <w:r>
              <w:rPr>
                <w:b/>
                <w:bCs/>
                <w:sz w:val="24"/>
                <w:szCs w:val="24"/>
              </w:rPr>
              <w:t>Injectable Contraception:</w:t>
            </w:r>
            <w:r>
              <w:rPr>
                <w:sz w:val="24"/>
                <w:szCs w:val="24"/>
              </w:rPr>
              <w:t xml:space="preserve"> Pharmacists can prescribe and administer injectable contraception</w:t>
            </w:r>
          </w:p>
          <w:p w14:paraId="1B9ACDF3" w14:textId="77777777" w:rsidR="00052952" w:rsidRDefault="00052952">
            <w:pPr>
              <w:jc w:val="right"/>
              <w:rPr>
                <w:sz w:val="24"/>
                <w:szCs w:val="24"/>
              </w:rPr>
            </w:pPr>
            <w:r>
              <w:rPr>
                <w:sz w:val="24"/>
                <w:szCs w:val="24"/>
              </w:rPr>
              <w:t xml:space="preserve">Companion bill:   </w:t>
            </w:r>
            <w:hyperlink r:id="rId80" w:history="1">
              <w:r>
                <w:rPr>
                  <w:rStyle w:val="Hyperlink"/>
                  <w:sz w:val="24"/>
                  <w:szCs w:val="24"/>
                </w:rPr>
                <w:t>H 3175</w:t>
              </w:r>
            </w:hyperlink>
          </w:p>
          <w:p w14:paraId="1CDBAA63" w14:textId="77777777" w:rsidR="00052952" w:rsidRDefault="00052952">
            <w:pPr>
              <w:jc w:val="right"/>
              <w:rPr>
                <w:sz w:val="24"/>
                <w:szCs w:val="24"/>
              </w:rPr>
            </w:pPr>
          </w:p>
        </w:tc>
      </w:tr>
      <w:tr w:rsidR="00052952" w14:paraId="7D43398F" w14:textId="77777777" w:rsidTr="00052952">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9C6C3" w14:textId="77777777" w:rsidR="00052952" w:rsidRDefault="00052952">
            <w:pPr>
              <w:jc w:val="center"/>
              <w:rPr>
                <w:sz w:val="24"/>
                <w:szCs w:val="24"/>
              </w:rPr>
            </w:pPr>
            <w:hyperlink r:id="rId81" w:history="1">
              <w:r>
                <w:rPr>
                  <w:rStyle w:val="Hyperlink"/>
                  <w:sz w:val="24"/>
                  <w:szCs w:val="24"/>
                </w:rPr>
                <w:t>S 265</w:t>
              </w:r>
            </w:hyperlink>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16B0A7F" w14:textId="77777777" w:rsidR="00052952" w:rsidRDefault="00052952">
            <w:pPr>
              <w:jc w:val="center"/>
              <w:rPr>
                <w:sz w:val="24"/>
                <w:szCs w:val="24"/>
              </w:rPr>
            </w:pPr>
            <w:r>
              <w:rPr>
                <w:sz w:val="24"/>
                <w:szCs w:val="24"/>
              </w:rPr>
              <w:t>Matthews</w:t>
            </w:r>
          </w:p>
        </w:tc>
        <w:tc>
          <w:tcPr>
            <w:tcW w:w="8010" w:type="dxa"/>
            <w:tcBorders>
              <w:top w:val="nil"/>
              <w:left w:val="nil"/>
              <w:bottom w:val="single" w:sz="8" w:space="0" w:color="auto"/>
              <w:right w:val="single" w:sz="8" w:space="0" w:color="auto"/>
            </w:tcBorders>
            <w:tcMar>
              <w:top w:w="0" w:type="dxa"/>
              <w:left w:w="108" w:type="dxa"/>
              <w:bottom w:w="0" w:type="dxa"/>
              <w:right w:w="108" w:type="dxa"/>
            </w:tcMar>
          </w:tcPr>
          <w:p w14:paraId="227E73F1" w14:textId="77777777" w:rsidR="00052952" w:rsidRDefault="00052952">
            <w:pPr>
              <w:rPr>
                <w:sz w:val="24"/>
                <w:szCs w:val="24"/>
              </w:rPr>
            </w:pPr>
            <w:r>
              <w:rPr>
                <w:b/>
                <w:bCs/>
                <w:sz w:val="24"/>
                <w:szCs w:val="24"/>
              </w:rPr>
              <w:t>Telehealth:</w:t>
            </w:r>
            <w:r>
              <w:rPr>
                <w:sz w:val="24"/>
                <w:szCs w:val="24"/>
              </w:rPr>
              <w:t xml:space="preserve"> Prevents hospitals from using telehealth to deliver critical care</w:t>
            </w:r>
          </w:p>
          <w:p w14:paraId="6832BB2A" w14:textId="77777777" w:rsidR="00052952" w:rsidRDefault="00052952">
            <w:pPr>
              <w:rPr>
                <w:sz w:val="24"/>
                <w:szCs w:val="24"/>
              </w:rPr>
            </w:pPr>
          </w:p>
        </w:tc>
      </w:tr>
      <w:tr w:rsidR="00052952" w14:paraId="078939C7" w14:textId="77777777" w:rsidTr="00052952">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41418" w14:textId="77777777" w:rsidR="00052952" w:rsidRDefault="00052952">
            <w:pPr>
              <w:jc w:val="center"/>
              <w:rPr>
                <w:sz w:val="24"/>
                <w:szCs w:val="24"/>
              </w:rPr>
            </w:pPr>
            <w:hyperlink r:id="rId82" w:history="1">
              <w:r>
                <w:rPr>
                  <w:rStyle w:val="Hyperlink"/>
                  <w:sz w:val="24"/>
                  <w:szCs w:val="24"/>
                </w:rPr>
                <w:t>S 269</w:t>
              </w:r>
            </w:hyperlink>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2839AFD" w14:textId="77777777" w:rsidR="00052952" w:rsidRDefault="00052952">
            <w:pPr>
              <w:jc w:val="center"/>
              <w:rPr>
                <w:sz w:val="24"/>
                <w:szCs w:val="24"/>
              </w:rPr>
            </w:pPr>
            <w:r>
              <w:rPr>
                <w:sz w:val="24"/>
                <w:szCs w:val="24"/>
              </w:rPr>
              <w:t>Matthews</w:t>
            </w:r>
          </w:p>
        </w:tc>
        <w:tc>
          <w:tcPr>
            <w:tcW w:w="8010" w:type="dxa"/>
            <w:tcBorders>
              <w:top w:val="nil"/>
              <w:left w:val="nil"/>
              <w:bottom w:val="single" w:sz="8" w:space="0" w:color="auto"/>
              <w:right w:val="single" w:sz="8" w:space="0" w:color="auto"/>
            </w:tcBorders>
            <w:tcMar>
              <w:top w:w="0" w:type="dxa"/>
              <w:left w:w="108" w:type="dxa"/>
              <w:bottom w:w="0" w:type="dxa"/>
              <w:right w:w="108" w:type="dxa"/>
            </w:tcMar>
          </w:tcPr>
          <w:p w14:paraId="5DDD8D36" w14:textId="77777777" w:rsidR="00052952" w:rsidRDefault="00052952">
            <w:pPr>
              <w:rPr>
                <w:sz w:val="24"/>
                <w:szCs w:val="24"/>
              </w:rPr>
            </w:pPr>
            <w:r>
              <w:rPr>
                <w:b/>
                <w:bCs/>
                <w:sz w:val="24"/>
                <w:szCs w:val="24"/>
              </w:rPr>
              <w:t>Hospitals:</w:t>
            </w:r>
            <w:r>
              <w:rPr>
                <w:sz w:val="24"/>
                <w:szCs w:val="24"/>
              </w:rPr>
              <w:t xml:space="preserve"> Requires hospitals to have critical care doctor on duty 24/7</w:t>
            </w:r>
          </w:p>
          <w:p w14:paraId="177F3E64" w14:textId="77777777" w:rsidR="00052952" w:rsidRDefault="00052952">
            <w:pPr>
              <w:rPr>
                <w:sz w:val="24"/>
                <w:szCs w:val="24"/>
              </w:rPr>
            </w:pPr>
          </w:p>
        </w:tc>
      </w:tr>
      <w:tr w:rsidR="00052952" w14:paraId="7815E6C1" w14:textId="77777777" w:rsidTr="00052952">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A4AA8" w14:textId="77777777" w:rsidR="00052952" w:rsidRDefault="00052952">
            <w:pPr>
              <w:jc w:val="center"/>
              <w:rPr>
                <w:sz w:val="24"/>
                <w:szCs w:val="24"/>
              </w:rPr>
            </w:pPr>
            <w:hyperlink r:id="rId83" w:history="1">
              <w:r>
                <w:rPr>
                  <w:rStyle w:val="Hyperlink"/>
                  <w:sz w:val="24"/>
                  <w:szCs w:val="24"/>
                </w:rPr>
                <w:t>S 287</w:t>
              </w:r>
            </w:hyperlink>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C8ECDD3" w14:textId="77777777" w:rsidR="00052952" w:rsidRDefault="00052952">
            <w:pPr>
              <w:jc w:val="center"/>
              <w:rPr>
                <w:sz w:val="24"/>
                <w:szCs w:val="24"/>
              </w:rPr>
            </w:pPr>
            <w:r>
              <w:rPr>
                <w:sz w:val="24"/>
                <w:szCs w:val="24"/>
              </w:rPr>
              <w:t>Gambrell</w:t>
            </w:r>
          </w:p>
        </w:tc>
        <w:tc>
          <w:tcPr>
            <w:tcW w:w="8010" w:type="dxa"/>
            <w:tcBorders>
              <w:top w:val="nil"/>
              <w:left w:val="nil"/>
              <w:bottom w:val="single" w:sz="8" w:space="0" w:color="auto"/>
              <w:right w:val="single" w:sz="8" w:space="0" w:color="auto"/>
            </w:tcBorders>
            <w:tcMar>
              <w:top w:w="0" w:type="dxa"/>
              <w:left w:w="108" w:type="dxa"/>
              <w:bottom w:w="0" w:type="dxa"/>
              <w:right w:w="108" w:type="dxa"/>
            </w:tcMar>
            <w:hideMark/>
          </w:tcPr>
          <w:p w14:paraId="5D7AD35E" w14:textId="77777777" w:rsidR="00052952" w:rsidRDefault="00052952">
            <w:pPr>
              <w:rPr>
                <w:sz w:val="24"/>
                <w:szCs w:val="24"/>
              </w:rPr>
            </w:pPr>
            <w:r>
              <w:rPr>
                <w:b/>
                <w:bCs/>
                <w:sz w:val="24"/>
                <w:szCs w:val="24"/>
              </w:rPr>
              <w:t>Physical Therapists:</w:t>
            </w:r>
            <w:r>
              <w:rPr>
                <w:sz w:val="24"/>
                <w:szCs w:val="24"/>
              </w:rPr>
              <w:t xml:space="preserve"> New licensing requirements for physical therapists.</w:t>
            </w:r>
          </w:p>
          <w:p w14:paraId="4C0BB46F" w14:textId="77777777" w:rsidR="00052952" w:rsidRDefault="00052952">
            <w:pPr>
              <w:jc w:val="right"/>
              <w:rPr>
                <w:sz w:val="24"/>
                <w:szCs w:val="24"/>
              </w:rPr>
            </w:pPr>
            <w:r>
              <w:rPr>
                <w:sz w:val="24"/>
                <w:szCs w:val="24"/>
              </w:rPr>
              <w:t xml:space="preserve">Companion bill: </w:t>
            </w:r>
            <w:hyperlink r:id="rId84" w:history="1">
              <w:r>
                <w:rPr>
                  <w:rStyle w:val="Hyperlink"/>
                  <w:sz w:val="24"/>
                  <w:szCs w:val="24"/>
                </w:rPr>
                <w:t>H 3327</w:t>
              </w:r>
            </w:hyperlink>
            <w:r>
              <w:rPr>
                <w:sz w:val="24"/>
                <w:szCs w:val="24"/>
              </w:rPr>
              <w:t xml:space="preserve"> (Lowe)</w:t>
            </w:r>
          </w:p>
        </w:tc>
      </w:tr>
      <w:tr w:rsidR="00052952" w14:paraId="78CD5DF3" w14:textId="77777777" w:rsidTr="00052952">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2718C" w14:textId="77777777" w:rsidR="00052952" w:rsidRDefault="00052952">
            <w:pPr>
              <w:jc w:val="center"/>
              <w:rPr>
                <w:sz w:val="24"/>
                <w:szCs w:val="24"/>
              </w:rPr>
            </w:pPr>
            <w:hyperlink r:id="rId85" w:history="1">
              <w:r>
                <w:rPr>
                  <w:rStyle w:val="Hyperlink"/>
                  <w:sz w:val="24"/>
                  <w:szCs w:val="24"/>
                </w:rPr>
                <w:t>S 314</w:t>
              </w:r>
            </w:hyperlink>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F0AF661" w14:textId="77777777" w:rsidR="00052952" w:rsidRDefault="00052952">
            <w:pPr>
              <w:jc w:val="center"/>
              <w:rPr>
                <w:sz w:val="24"/>
                <w:szCs w:val="24"/>
              </w:rPr>
            </w:pPr>
            <w:r>
              <w:rPr>
                <w:sz w:val="24"/>
                <w:szCs w:val="24"/>
              </w:rPr>
              <w:t>Fanning</w:t>
            </w:r>
          </w:p>
        </w:tc>
        <w:tc>
          <w:tcPr>
            <w:tcW w:w="8010" w:type="dxa"/>
            <w:tcBorders>
              <w:top w:val="nil"/>
              <w:left w:val="nil"/>
              <w:bottom w:val="single" w:sz="8" w:space="0" w:color="auto"/>
              <w:right w:val="single" w:sz="8" w:space="0" w:color="auto"/>
            </w:tcBorders>
            <w:tcMar>
              <w:top w:w="0" w:type="dxa"/>
              <w:left w:w="108" w:type="dxa"/>
              <w:bottom w:w="0" w:type="dxa"/>
              <w:right w:w="108" w:type="dxa"/>
            </w:tcMar>
          </w:tcPr>
          <w:p w14:paraId="229ABE15" w14:textId="77777777" w:rsidR="00052952" w:rsidRDefault="00052952">
            <w:pPr>
              <w:rPr>
                <w:sz w:val="24"/>
                <w:szCs w:val="24"/>
              </w:rPr>
            </w:pPr>
            <w:r>
              <w:rPr>
                <w:b/>
                <w:bCs/>
                <w:sz w:val="24"/>
                <w:szCs w:val="24"/>
              </w:rPr>
              <w:t>Surprise Billing:</w:t>
            </w:r>
            <w:r>
              <w:rPr>
                <w:sz w:val="24"/>
                <w:szCs w:val="24"/>
              </w:rPr>
              <w:t xml:space="preserve"> Prohibits surprise billing.  (Note:  Federal legislation passed as part of the omnibus bill passed December 21, 2020.) </w:t>
            </w:r>
          </w:p>
          <w:p w14:paraId="257AF31D" w14:textId="77777777" w:rsidR="00052952" w:rsidRDefault="00052952">
            <w:pPr>
              <w:rPr>
                <w:sz w:val="24"/>
                <w:szCs w:val="24"/>
              </w:rPr>
            </w:pPr>
          </w:p>
        </w:tc>
      </w:tr>
      <w:tr w:rsidR="00052952" w14:paraId="640A9503" w14:textId="77777777" w:rsidTr="00052952">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A18E0" w14:textId="77777777" w:rsidR="00052952" w:rsidRDefault="00052952">
            <w:pPr>
              <w:jc w:val="center"/>
              <w:rPr>
                <w:sz w:val="24"/>
                <w:szCs w:val="24"/>
              </w:rPr>
            </w:pPr>
            <w:hyperlink r:id="rId86" w:history="1">
              <w:r>
                <w:rPr>
                  <w:rStyle w:val="Hyperlink"/>
                  <w:sz w:val="24"/>
                  <w:szCs w:val="24"/>
                </w:rPr>
                <w:t>H 3217</w:t>
              </w:r>
            </w:hyperlink>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7B95545" w14:textId="77777777" w:rsidR="00052952" w:rsidRDefault="00052952">
            <w:pPr>
              <w:jc w:val="center"/>
              <w:rPr>
                <w:sz w:val="24"/>
                <w:szCs w:val="24"/>
              </w:rPr>
            </w:pPr>
            <w:proofErr w:type="spellStart"/>
            <w:r>
              <w:rPr>
                <w:sz w:val="24"/>
                <w:szCs w:val="24"/>
              </w:rPr>
              <w:t>Chumly</w:t>
            </w:r>
            <w:proofErr w:type="spellEnd"/>
          </w:p>
        </w:tc>
        <w:tc>
          <w:tcPr>
            <w:tcW w:w="8010" w:type="dxa"/>
            <w:tcBorders>
              <w:top w:val="nil"/>
              <w:left w:val="nil"/>
              <w:bottom w:val="single" w:sz="8" w:space="0" w:color="auto"/>
              <w:right w:val="single" w:sz="8" w:space="0" w:color="auto"/>
            </w:tcBorders>
            <w:tcMar>
              <w:top w:w="0" w:type="dxa"/>
              <w:left w:w="108" w:type="dxa"/>
              <w:bottom w:w="0" w:type="dxa"/>
              <w:right w:w="108" w:type="dxa"/>
            </w:tcMar>
          </w:tcPr>
          <w:p w14:paraId="0C08F057" w14:textId="77777777" w:rsidR="00052952" w:rsidRDefault="00052952">
            <w:pPr>
              <w:rPr>
                <w:sz w:val="24"/>
                <w:szCs w:val="24"/>
              </w:rPr>
            </w:pPr>
            <w:r>
              <w:rPr>
                <w:b/>
                <w:bCs/>
                <w:sz w:val="24"/>
                <w:szCs w:val="24"/>
              </w:rPr>
              <w:t>Vaccines/Prescribing:</w:t>
            </w:r>
            <w:r>
              <w:rPr>
                <w:sz w:val="24"/>
                <w:szCs w:val="24"/>
              </w:rPr>
              <w:t xml:space="preserve"> Allows individuals to opt out of infectious/contagious vaccines for any reason; prevents regulatory/licensing entity from interfering with a practitioner/patient relationship regarding the prescribing of a controlled substance. </w:t>
            </w:r>
          </w:p>
          <w:p w14:paraId="4DF8FCE4" w14:textId="77777777" w:rsidR="00052952" w:rsidRDefault="00052952">
            <w:pPr>
              <w:rPr>
                <w:sz w:val="24"/>
                <w:szCs w:val="24"/>
              </w:rPr>
            </w:pPr>
          </w:p>
        </w:tc>
      </w:tr>
      <w:tr w:rsidR="00052952" w14:paraId="63CC5FA0" w14:textId="77777777" w:rsidTr="00052952">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37A4C" w14:textId="77777777" w:rsidR="00052952" w:rsidRDefault="00052952">
            <w:pPr>
              <w:jc w:val="center"/>
              <w:rPr>
                <w:sz w:val="24"/>
                <w:szCs w:val="24"/>
              </w:rPr>
            </w:pPr>
            <w:hyperlink r:id="rId87" w:history="1">
              <w:r>
                <w:rPr>
                  <w:rStyle w:val="Hyperlink"/>
                  <w:sz w:val="24"/>
                  <w:szCs w:val="24"/>
                </w:rPr>
                <w:t>H 3179</w:t>
              </w:r>
            </w:hyperlink>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1775FCB" w14:textId="77777777" w:rsidR="00052952" w:rsidRDefault="00052952">
            <w:pPr>
              <w:jc w:val="center"/>
              <w:rPr>
                <w:sz w:val="24"/>
                <w:szCs w:val="24"/>
              </w:rPr>
            </w:pPr>
            <w:r>
              <w:rPr>
                <w:sz w:val="24"/>
                <w:szCs w:val="24"/>
              </w:rPr>
              <w:t>GM Smith</w:t>
            </w:r>
          </w:p>
        </w:tc>
        <w:tc>
          <w:tcPr>
            <w:tcW w:w="8010" w:type="dxa"/>
            <w:tcBorders>
              <w:top w:val="nil"/>
              <w:left w:val="nil"/>
              <w:bottom w:val="single" w:sz="8" w:space="0" w:color="auto"/>
              <w:right w:val="single" w:sz="8" w:space="0" w:color="auto"/>
            </w:tcBorders>
            <w:tcMar>
              <w:top w:w="0" w:type="dxa"/>
              <w:left w:w="108" w:type="dxa"/>
              <w:bottom w:w="0" w:type="dxa"/>
              <w:right w:w="108" w:type="dxa"/>
            </w:tcMar>
          </w:tcPr>
          <w:p w14:paraId="0BA2D2B4" w14:textId="77777777" w:rsidR="00052952" w:rsidRDefault="00052952">
            <w:pPr>
              <w:rPr>
                <w:sz w:val="24"/>
                <w:szCs w:val="24"/>
              </w:rPr>
            </w:pPr>
            <w:r>
              <w:rPr>
                <w:b/>
                <w:bCs/>
                <w:sz w:val="24"/>
                <w:szCs w:val="24"/>
              </w:rPr>
              <w:t>Controlled Substances:</w:t>
            </w:r>
            <w:r>
              <w:rPr>
                <w:sz w:val="24"/>
                <w:szCs w:val="24"/>
              </w:rPr>
              <w:t xml:space="preserve"> Exempts surgically implanted drug delivery system for controlled substances from 31-day supply limitation. </w:t>
            </w:r>
          </w:p>
          <w:p w14:paraId="007A02DC" w14:textId="77777777" w:rsidR="00052952" w:rsidRDefault="00052952">
            <w:pPr>
              <w:rPr>
                <w:sz w:val="24"/>
                <w:szCs w:val="24"/>
              </w:rPr>
            </w:pPr>
          </w:p>
        </w:tc>
      </w:tr>
      <w:tr w:rsidR="00052952" w14:paraId="5F3A8BA9" w14:textId="77777777" w:rsidTr="00052952">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D75B0" w14:textId="77777777" w:rsidR="00052952" w:rsidRDefault="00052952">
            <w:pPr>
              <w:jc w:val="center"/>
              <w:rPr>
                <w:sz w:val="24"/>
                <w:szCs w:val="24"/>
              </w:rPr>
            </w:pPr>
            <w:hyperlink r:id="rId88" w:history="1">
              <w:r>
                <w:rPr>
                  <w:rStyle w:val="Hyperlink"/>
                  <w:sz w:val="24"/>
                  <w:szCs w:val="24"/>
                </w:rPr>
                <w:t>H 3230</w:t>
              </w:r>
            </w:hyperlink>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218A9D9" w14:textId="77777777" w:rsidR="00052952" w:rsidRDefault="00052952">
            <w:pPr>
              <w:jc w:val="center"/>
              <w:rPr>
                <w:sz w:val="24"/>
                <w:szCs w:val="24"/>
              </w:rPr>
            </w:pPr>
            <w:proofErr w:type="spellStart"/>
            <w:r>
              <w:rPr>
                <w:sz w:val="24"/>
                <w:szCs w:val="24"/>
              </w:rPr>
              <w:t>Herbkersman</w:t>
            </w:r>
            <w:proofErr w:type="spellEnd"/>
          </w:p>
        </w:tc>
        <w:tc>
          <w:tcPr>
            <w:tcW w:w="8010" w:type="dxa"/>
            <w:tcBorders>
              <w:top w:val="nil"/>
              <w:left w:val="nil"/>
              <w:bottom w:val="single" w:sz="8" w:space="0" w:color="auto"/>
              <w:right w:val="single" w:sz="8" w:space="0" w:color="auto"/>
            </w:tcBorders>
            <w:tcMar>
              <w:top w:w="0" w:type="dxa"/>
              <w:left w:w="108" w:type="dxa"/>
              <w:bottom w:w="0" w:type="dxa"/>
              <w:right w:w="108" w:type="dxa"/>
            </w:tcMar>
          </w:tcPr>
          <w:p w14:paraId="57389331" w14:textId="77777777" w:rsidR="00052952" w:rsidRDefault="00052952">
            <w:pPr>
              <w:rPr>
                <w:sz w:val="24"/>
                <w:szCs w:val="24"/>
              </w:rPr>
            </w:pPr>
            <w:r>
              <w:rPr>
                <w:b/>
                <w:bCs/>
                <w:sz w:val="24"/>
                <w:szCs w:val="24"/>
              </w:rPr>
              <w:t xml:space="preserve">Telehealth: </w:t>
            </w:r>
            <w:r>
              <w:rPr>
                <w:sz w:val="24"/>
                <w:szCs w:val="24"/>
              </w:rPr>
              <w:t xml:space="preserve">Requires SC DHHS to reimburse practitioners for mental health telehealth services delivered to patients enrolled in Medicaid. </w:t>
            </w:r>
          </w:p>
          <w:p w14:paraId="3073A2D5" w14:textId="77777777" w:rsidR="00052952" w:rsidRDefault="00052952">
            <w:pPr>
              <w:rPr>
                <w:sz w:val="24"/>
                <w:szCs w:val="24"/>
              </w:rPr>
            </w:pPr>
          </w:p>
        </w:tc>
      </w:tr>
    </w:tbl>
    <w:p w14:paraId="640CBAC5" w14:textId="77777777" w:rsidR="00052952" w:rsidRDefault="00052952" w:rsidP="00052952"/>
    <w:p w14:paraId="5765F261" w14:textId="77777777" w:rsidR="00052952" w:rsidRDefault="00052952" w:rsidP="00052952">
      <w:pPr>
        <w:rPr>
          <w:b/>
          <w:bCs/>
          <w:color w:val="C00000"/>
          <w:sz w:val="28"/>
          <w:szCs w:val="28"/>
        </w:rPr>
      </w:pPr>
      <w:r>
        <w:rPr>
          <w:b/>
          <w:bCs/>
          <w:color w:val="C00000"/>
          <w:sz w:val="28"/>
          <w:szCs w:val="28"/>
        </w:rPr>
        <w:t>Medicaid &amp; Research</w:t>
      </w:r>
    </w:p>
    <w:p w14:paraId="7D1052C5" w14:textId="77777777" w:rsidR="00052952" w:rsidRDefault="00052952" w:rsidP="00052952">
      <w:pPr>
        <w:rPr>
          <w:i/>
          <w:iCs/>
          <w:color w:val="000000"/>
        </w:rPr>
      </w:pPr>
      <w:r>
        <w:rPr>
          <w:i/>
          <w:iCs/>
          <w:color w:val="000000"/>
        </w:rPr>
        <w:t xml:space="preserve">Note: SC is one of 12 states that have not expanded Medicaid under ACA. </w:t>
      </w:r>
    </w:p>
    <w:tbl>
      <w:tblPr>
        <w:tblW w:w="0" w:type="auto"/>
        <w:tblCellMar>
          <w:left w:w="0" w:type="dxa"/>
          <w:right w:w="0" w:type="dxa"/>
        </w:tblCellMar>
        <w:tblLook w:val="04A0" w:firstRow="1" w:lastRow="0" w:firstColumn="1" w:lastColumn="0" w:noHBand="0" w:noVBand="1"/>
      </w:tblPr>
      <w:tblGrid>
        <w:gridCol w:w="935"/>
        <w:gridCol w:w="1443"/>
        <w:gridCol w:w="6962"/>
      </w:tblGrid>
      <w:tr w:rsidR="00052952" w14:paraId="2A75EBB9" w14:textId="77777777" w:rsidTr="00052952">
        <w:tc>
          <w:tcPr>
            <w:tcW w:w="985" w:type="dxa"/>
            <w:tcBorders>
              <w:top w:val="single" w:sz="8" w:space="0" w:color="auto"/>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7644401B" w14:textId="77777777" w:rsidR="00052952" w:rsidRDefault="00052952">
            <w:pPr>
              <w:rPr>
                <w:b/>
                <w:bCs/>
                <w:color w:val="FFFFFF"/>
                <w:sz w:val="24"/>
                <w:szCs w:val="24"/>
              </w:rPr>
            </w:pPr>
            <w:r>
              <w:rPr>
                <w:b/>
                <w:bCs/>
                <w:color w:val="FFFFFF"/>
                <w:sz w:val="24"/>
                <w:szCs w:val="24"/>
              </w:rPr>
              <w:t>Bill #</w:t>
            </w:r>
          </w:p>
        </w:tc>
        <w:tc>
          <w:tcPr>
            <w:tcW w:w="1534" w:type="dxa"/>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hideMark/>
          </w:tcPr>
          <w:p w14:paraId="335C456B" w14:textId="77777777" w:rsidR="00052952" w:rsidRDefault="00052952">
            <w:pPr>
              <w:rPr>
                <w:b/>
                <w:bCs/>
                <w:color w:val="FFFFFF"/>
                <w:sz w:val="24"/>
                <w:szCs w:val="24"/>
              </w:rPr>
            </w:pPr>
            <w:r>
              <w:rPr>
                <w:b/>
                <w:bCs/>
                <w:color w:val="FFFFFF"/>
                <w:sz w:val="24"/>
                <w:szCs w:val="24"/>
              </w:rPr>
              <w:t>Sponsor</w:t>
            </w:r>
          </w:p>
        </w:tc>
        <w:tc>
          <w:tcPr>
            <w:tcW w:w="8186" w:type="dxa"/>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hideMark/>
          </w:tcPr>
          <w:p w14:paraId="75DFEC37" w14:textId="77777777" w:rsidR="00052952" w:rsidRDefault="00052952">
            <w:pPr>
              <w:rPr>
                <w:b/>
                <w:bCs/>
                <w:color w:val="FFFFFF"/>
                <w:sz w:val="24"/>
                <w:szCs w:val="24"/>
              </w:rPr>
            </w:pPr>
            <w:r>
              <w:rPr>
                <w:b/>
                <w:bCs/>
                <w:color w:val="FFFFFF"/>
                <w:sz w:val="24"/>
                <w:szCs w:val="24"/>
              </w:rPr>
              <w:t xml:space="preserve">Description </w:t>
            </w:r>
          </w:p>
        </w:tc>
      </w:tr>
      <w:tr w:rsidR="00052952" w14:paraId="436A5450"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0E7DC" w14:textId="77777777" w:rsidR="00052952" w:rsidRDefault="00052952">
            <w:pPr>
              <w:rPr>
                <w:sz w:val="24"/>
                <w:szCs w:val="24"/>
              </w:rPr>
            </w:pPr>
            <w:hyperlink r:id="rId89" w:history="1">
              <w:r>
                <w:rPr>
                  <w:rStyle w:val="Hyperlink"/>
                  <w:sz w:val="24"/>
                  <w:szCs w:val="24"/>
                </w:rPr>
                <w:t>S 210</w:t>
              </w:r>
            </w:hyperlink>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14:paraId="372B999F" w14:textId="77777777" w:rsidR="00052952" w:rsidRDefault="00052952">
            <w:pPr>
              <w:rPr>
                <w:sz w:val="24"/>
                <w:szCs w:val="24"/>
              </w:rPr>
            </w:pPr>
            <w:r>
              <w:rPr>
                <w:sz w:val="24"/>
                <w:szCs w:val="24"/>
              </w:rPr>
              <w:t>Johnson</w:t>
            </w:r>
          </w:p>
        </w:tc>
        <w:tc>
          <w:tcPr>
            <w:tcW w:w="8186" w:type="dxa"/>
            <w:tcBorders>
              <w:top w:val="nil"/>
              <w:left w:val="nil"/>
              <w:bottom w:val="single" w:sz="8" w:space="0" w:color="auto"/>
              <w:right w:val="single" w:sz="8" w:space="0" w:color="auto"/>
            </w:tcBorders>
            <w:tcMar>
              <w:top w:w="0" w:type="dxa"/>
              <w:left w:w="108" w:type="dxa"/>
              <w:bottom w:w="0" w:type="dxa"/>
              <w:right w:w="108" w:type="dxa"/>
            </w:tcMar>
          </w:tcPr>
          <w:p w14:paraId="1EB1332B" w14:textId="77777777" w:rsidR="00052952" w:rsidRDefault="00052952">
            <w:pPr>
              <w:rPr>
                <w:sz w:val="24"/>
                <w:szCs w:val="24"/>
              </w:rPr>
            </w:pPr>
            <w:r>
              <w:rPr>
                <w:sz w:val="24"/>
                <w:szCs w:val="24"/>
              </w:rPr>
              <w:t xml:space="preserve">Medicaid expansion - Requires SC DHHS to cover adults up to 133% FPL </w:t>
            </w:r>
          </w:p>
          <w:p w14:paraId="0F04BA43" w14:textId="77777777" w:rsidR="00052952" w:rsidRDefault="00052952">
            <w:pPr>
              <w:rPr>
                <w:sz w:val="24"/>
                <w:szCs w:val="24"/>
              </w:rPr>
            </w:pPr>
          </w:p>
        </w:tc>
      </w:tr>
      <w:tr w:rsidR="00052952" w14:paraId="226B03E2"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14ED6" w14:textId="77777777" w:rsidR="00052952" w:rsidRDefault="00052952">
            <w:pPr>
              <w:rPr>
                <w:sz w:val="24"/>
                <w:szCs w:val="24"/>
              </w:rPr>
            </w:pPr>
            <w:hyperlink r:id="rId90" w:history="1">
              <w:r>
                <w:rPr>
                  <w:rStyle w:val="Hyperlink"/>
                  <w:sz w:val="24"/>
                  <w:szCs w:val="24"/>
                </w:rPr>
                <w:t>H 3171</w:t>
              </w:r>
            </w:hyperlink>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14:paraId="3BAA5669" w14:textId="77777777" w:rsidR="00052952" w:rsidRDefault="00052952">
            <w:pPr>
              <w:rPr>
                <w:sz w:val="24"/>
                <w:szCs w:val="24"/>
              </w:rPr>
            </w:pPr>
            <w:r>
              <w:rPr>
                <w:sz w:val="24"/>
                <w:szCs w:val="24"/>
              </w:rPr>
              <w:t>Pope</w:t>
            </w:r>
          </w:p>
        </w:tc>
        <w:tc>
          <w:tcPr>
            <w:tcW w:w="8186" w:type="dxa"/>
            <w:tcBorders>
              <w:top w:val="nil"/>
              <w:left w:val="nil"/>
              <w:bottom w:val="single" w:sz="8" w:space="0" w:color="auto"/>
              <w:right w:val="single" w:sz="8" w:space="0" w:color="auto"/>
            </w:tcBorders>
            <w:tcMar>
              <w:top w:w="0" w:type="dxa"/>
              <w:left w:w="108" w:type="dxa"/>
              <w:bottom w:w="0" w:type="dxa"/>
              <w:right w:w="108" w:type="dxa"/>
            </w:tcMar>
          </w:tcPr>
          <w:p w14:paraId="10C1DEDA" w14:textId="77777777" w:rsidR="00052952" w:rsidRDefault="00052952">
            <w:pPr>
              <w:rPr>
                <w:sz w:val="24"/>
                <w:szCs w:val="24"/>
              </w:rPr>
            </w:pPr>
            <w:r>
              <w:rPr>
                <w:b/>
                <w:bCs/>
                <w:sz w:val="24"/>
                <w:szCs w:val="24"/>
              </w:rPr>
              <w:t>Research:</w:t>
            </w:r>
            <w:r>
              <w:rPr>
                <w:sz w:val="24"/>
                <w:szCs w:val="24"/>
              </w:rPr>
              <w:t xml:space="preserve"> “Cure Act”, SC enters the multi-state Cure Compact for research</w:t>
            </w:r>
          </w:p>
          <w:p w14:paraId="788F0977" w14:textId="77777777" w:rsidR="00052952" w:rsidRDefault="00052952">
            <w:pPr>
              <w:rPr>
                <w:sz w:val="24"/>
                <w:szCs w:val="24"/>
              </w:rPr>
            </w:pPr>
          </w:p>
        </w:tc>
      </w:tr>
      <w:tr w:rsidR="00052952" w14:paraId="51F0C972"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0AD12" w14:textId="77777777" w:rsidR="00052952" w:rsidRDefault="00052952">
            <w:pPr>
              <w:rPr>
                <w:sz w:val="24"/>
                <w:szCs w:val="24"/>
              </w:rPr>
            </w:pPr>
            <w:hyperlink r:id="rId91" w:history="1">
              <w:r>
                <w:rPr>
                  <w:rStyle w:val="Hyperlink"/>
                  <w:sz w:val="24"/>
                  <w:szCs w:val="24"/>
                </w:rPr>
                <w:t>H 3226</w:t>
              </w:r>
            </w:hyperlink>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14:paraId="297C7FAE" w14:textId="77777777" w:rsidR="00052952" w:rsidRDefault="00052952">
            <w:pPr>
              <w:rPr>
                <w:sz w:val="24"/>
                <w:szCs w:val="24"/>
              </w:rPr>
            </w:pPr>
            <w:r>
              <w:rPr>
                <w:sz w:val="24"/>
                <w:szCs w:val="24"/>
              </w:rPr>
              <w:t>Garvin</w:t>
            </w:r>
          </w:p>
        </w:tc>
        <w:tc>
          <w:tcPr>
            <w:tcW w:w="8186" w:type="dxa"/>
            <w:tcBorders>
              <w:top w:val="nil"/>
              <w:left w:val="nil"/>
              <w:bottom w:val="single" w:sz="8" w:space="0" w:color="auto"/>
              <w:right w:val="single" w:sz="8" w:space="0" w:color="auto"/>
            </w:tcBorders>
            <w:tcMar>
              <w:top w:w="0" w:type="dxa"/>
              <w:left w:w="108" w:type="dxa"/>
              <w:bottom w:w="0" w:type="dxa"/>
              <w:right w:w="108" w:type="dxa"/>
            </w:tcMar>
          </w:tcPr>
          <w:p w14:paraId="283AFEAB" w14:textId="77777777" w:rsidR="00052952" w:rsidRDefault="00052952">
            <w:pPr>
              <w:rPr>
                <w:sz w:val="24"/>
                <w:szCs w:val="24"/>
              </w:rPr>
            </w:pPr>
            <w:r>
              <w:rPr>
                <w:sz w:val="24"/>
                <w:szCs w:val="24"/>
              </w:rPr>
              <w:t>Medicaid expansion for adults under age 65 whose income is at or below 133% FPL</w:t>
            </w:r>
          </w:p>
          <w:p w14:paraId="7A48B265" w14:textId="77777777" w:rsidR="00052952" w:rsidRDefault="00052952">
            <w:pPr>
              <w:rPr>
                <w:sz w:val="24"/>
                <w:szCs w:val="24"/>
              </w:rPr>
            </w:pPr>
          </w:p>
        </w:tc>
      </w:tr>
      <w:tr w:rsidR="00052952" w14:paraId="7CAB828D" w14:textId="77777777" w:rsidTr="00052952">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D04E4" w14:textId="77777777" w:rsidR="00052952" w:rsidRDefault="00052952">
            <w:pPr>
              <w:rPr>
                <w:sz w:val="24"/>
                <w:szCs w:val="24"/>
              </w:rPr>
            </w:pPr>
            <w:hyperlink r:id="rId92" w:history="1">
              <w:r>
                <w:rPr>
                  <w:rStyle w:val="Hyperlink"/>
                  <w:sz w:val="24"/>
                  <w:szCs w:val="24"/>
                </w:rPr>
                <w:t>H 3573</w:t>
              </w:r>
            </w:hyperlink>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14:paraId="7A615692" w14:textId="77777777" w:rsidR="00052952" w:rsidRDefault="00052952">
            <w:pPr>
              <w:rPr>
                <w:sz w:val="24"/>
                <w:szCs w:val="24"/>
              </w:rPr>
            </w:pPr>
            <w:r>
              <w:rPr>
                <w:sz w:val="24"/>
                <w:szCs w:val="24"/>
              </w:rPr>
              <w:t>Thigpen</w:t>
            </w:r>
          </w:p>
        </w:tc>
        <w:tc>
          <w:tcPr>
            <w:tcW w:w="8186" w:type="dxa"/>
            <w:tcBorders>
              <w:top w:val="nil"/>
              <w:left w:val="nil"/>
              <w:bottom w:val="single" w:sz="8" w:space="0" w:color="auto"/>
              <w:right w:val="single" w:sz="8" w:space="0" w:color="auto"/>
            </w:tcBorders>
            <w:tcMar>
              <w:top w:w="0" w:type="dxa"/>
              <w:left w:w="108" w:type="dxa"/>
              <w:bottom w:w="0" w:type="dxa"/>
              <w:right w:w="108" w:type="dxa"/>
            </w:tcMar>
          </w:tcPr>
          <w:p w14:paraId="034324A4" w14:textId="77777777" w:rsidR="00052952" w:rsidRDefault="00052952">
            <w:pPr>
              <w:rPr>
                <w:sz w:val="24"/>
                <w:szCs w:val="24"/>
              </w:rPr>
            </w:pPr>
            <w:r>
              <w:rPr>
                <w:sz w:val="24"/>
                <w:szCs w:val="24"/>
              </w:rPr>
              <w:t>SC Medicaid Buy-In Act:  SC DHHS to establish a Medicaid buy-in plan and benefits for qualified individuals.</w:t>
            </w:r>
          </w:p>
          <w:p w14:paraId="41E155F5" w14:textId="77777777" w:rsidR="00052952" w:rsidRDefault="00052952">
            <w:pPr>
              <w:rPr>
                <w:sz w:val="24"/>
                <w:szCs w:val="24"/>
              </w:rPr>
            </w:pPr>
          </w:p>
        </w:tc>
      </w:tr>
    </w:tbl>
    <w:p w14:paraId="5ABC574D" w14:textId="77777777" w:rsidR="00052952" w:rsidRDefault="00052952" w:rsidP="00052952">
      <w:pPr>
        <w:rPr>
          <w:sz w:val="24"/>
          <w:szCs w:val="24"/>
        </w:rPr>
      </w:pPr>
    </w:p>
    <w:p w14:paraId="066E1D63" w14:textId="77777777" w:rsidR="00052952" w:rsidRDefault="00052952" w:rsidP="00052952">
      <w:pPr>
        <w:pStyle w:val="NormalWeb"/>
        <w:shd w:val="clear" w:color="auto" w:fill="FFFFFF"/>
        <w:spacing w:before="0" w:beforeAutospacing="0" w:after="0" w:afterAutospacing="0" w:line="235" w:lineRule="atLeast"/>
        <w:rPr>
          <w:color w:val="000000"/>
          <w:u w:val="single"/>
        </w:rPr>
      </w:pPr>
      <w:r>
        <w:rPr>
          <w:b/>
          <w:bCs/>
          <w:color w:val="000000"/>
          <w:u w:val="single"/>
        </w:rPr>
        <w:t>COVID-19 Vaccines  </w:t>
      </w:r>
    </w:p>
    <w:p w14:paraId="496A0E78" w14:textId="77777777" w:rsidR="00052952" w:rsidRDefault="00052952" w:rsidP="00052952">
      <w:pPr>
        <w:pStyle w:val="NormalWeb"/>
        <w:shd w:val="clear" w:color="auto" w:fill="FFFFFF"/>
        <w:spacing w:before="0" w:beforeAutospacing="0" w:after="0" w:afterAutospacing="0" w:line="235" w:lineRule="atLeast"/>
        <w:rPr>
          <w:color w:val="000000"/>
        </w:rPr>
      </w:pPr>
      <w:r>
        <w:rPr>
          <w:color w:val="000000"/>
        </w:rPr>
        <w:t xml:space="preserve">COVID-19 vaccines are now available in South Carolina to help prevent this infectious disease. The South Carolina Department of Health and Environmental Control (DHEC) is encouraging everyone to continue wearing masks, staying physically distant, avoiding crowds – and to get vaccinated as soon as your turn </w:t>
      </w:r>
      <w:r>
        <w:rPr>
          <w:color w:val="000000"/>
        </w:rPr>
        <w:lastRenderedPageBreak/>
        <w:t>comes. Visit the DHEC website to learn when you will be able to be vaccinated and more information about CoVID-19. </w:t>
      </w:r>
    </w:p>
    <w:p w14:paraId="04B9F195" w14:textId="77777777" w:rsidR="00052952" w:rsidRDefault="00052952" w:rsidP="00052952">
      <w:pPr>
        <w:pStyle w:val="NormalWeb"/>
        <w:shd w:val="clear" w:color="auto" w:fill="FFFFFF"/>
        <w:spacing w:before="0" w:beforeAutospacing="0" w:after="0" w:afterAutospacing="0" w:line="235" w:lineRule="atLeast"/>
        <w:rPr>
          <w:color w:val="000000"/>
        </w:rPr>
      </w:pPr>
      <w:hyperlink r:id="rId93" w:tgtFrame="_blank" w:history="1">
        <w:r>
          <w:rPr>
            <w:rStyle w:val="Hyperlink"/>
          </w:rPr>
          <w:t>COVID-19 Vaccines</w:t>
        </w:r>
      </w:hyperlink>
      <w:r>
        <w:rPr>
          <w:color w:val="000000"/>
        </w:rPr>
        <w:t>  </w:t>
      </w:r>
    </w:p>
    <w:p w14:paraId="6C758864" w14:textId="77777777" w:rsidR="00052952" w:rsidRDefault="00052952" w:rsidP="00052952">
      <w:pPr>
        <w:pStyle w:val="NormalWeb"/>
        <w:shd w:val="clear" w:color="auto" w:fill="FFFFFF"/>
        <w:spacing w:before="0" w:beforeAutospacing="0" w:after="0" w:afterAutospacing="0" w:line="235" w:lineRule="atLeast"/>
        <w:rPr>
          <w:color w:val="000000"/>
        </w:rPr>
      </w:pPr>
      <w:hyperlink r:id="rId94" w:tgtFrame="_blank" w:history="1">
        <w:r>
          <w:rPr>
            <w:rStyle w:val="Hyperlink"/>
          </w:rPr>
          <w:t>COVID-19 Vaccine Frequently Asked Questions</w:t>
        </w:r>
      </w:hyperlink>
      <w:r>
        <w:rPr>
          <w:color w:val="000000"/>
        </w:rPr>
        <w:t> </w:t>
      </w:r>
    </w:p>
    <w:p w14:paraId="73FE450F" w14:textId="77777777" w:rsidR="00052952" w:rsidRDefault="00052952" w:rsidP="00052952">
      <w:pPr>
        <w:pStyle w:val="NormalWeb"/>
        <w:shd w:val="clear" w:color="auto" w:fill="FFFFFF"/>
        <w:spacing w:before="0" w:beforeAutospacing="0" w:after="0" w:afterAutospacing="0" w:line="235" w:lineRule="atLeast"/>
        <w:rPr>
          <w:color w:val="000000"/>
        </w:rPr>
      </w:pPr>
      <w:hyperlink r:id="rId95" w:tgtFrame="_blank" w:history="1">
        <w:r>
          <w:rPr>
            <w:rStyle w:val="Hyperlink"/>
          </w:rPr>
          <w:t>COVID-19 Information </w:t>
        </w:r>
      </w:hyperlink>
    </w:p>
    <w:p w14:paraId="7CAC3D77" w14:textId="77777777" w:rsidR="00052952" w:rsidRDefault="00052952" w:rsidP="00052952">
      <w:pPr>
        <w:pStyle w:val="NormalWeb"/>
        <w:shd w:val="clear" w:color="auto" w:fill="FFFFFF"/>
        <w:spacing w:before="0" w:beforeAutospacing="0" w:after="0" w:afterAutospacing="0" w:line="235" w:lineRule="atLeast"/>
        <w:rPr>
          <w:color w:val="000000"/>
        </w:rPr>
      </w:pPr>
      <w:hyperlink r:id="rId96" w:tgtFrame="_blank" w:history="1">
        <w:r>
          <w:rPr>
            <w:rStyle w:val="Hyperlink"/>
          </w:rPr>
          <w:t>COVID-19 Frequently Asked Questions</w:t>
        </w:r>
      </w:hyperlink>
      <w:r>
        <w:rPr>
          <w:color w:val="0000FF"/>
          <w:u w:val="single"/>
        </w:rPr>
        <w:t> </w:t>
      </w:r>
    </w:p>
    <w:p w14:paraId="76BF0985" w14:textId="77777777" w:rsidR="00052952" w:rsidRDefault="00052952" w:rsidP="00052952">
      <w:pPr>
        <w:pStyle w:val="NormalWeb"/>
        <w:shd w:val="clear" w:color="auto" w:fill="FFFFFF"/>
        <w:spacing w:before="0" w:beforeAutospacing="0" w:after="0" w:afterAutospacing="0"/>
        <w:rPr>
          <w:color w:val="000000"/>
        </w:rPr>
      </w:pPr>
      <w:r>
        <w:rPr>
          <w:color w:val="000000"/>
        </w:rPr>
        <w:t>Have a general question about COVID-19? Call the DHEC Care Line at 1-855-472-3432 between 8 a.m. and 6 p.m. daily. </w:t>
      </w:r>
    </w:p>
    <w:p w14:paraId="19DD26EF" w14:textId="77777777" w:rsidR="00052952" w:rsidRDefault="00052952" w:rsidP="00052952">
      <w:pPr>
        <w:shd w:val="clear" w:color="auto" w:fill="FFFFFF"/>
        <w:rPr>
          <w:color w:val="000000"/>
          <w:sz w:val="24"/>
          <w:szCs w:val="24"/>
        </w:rPr>
      </w:pPr>
    </w:p>
    <w:p w14:paraId="542B5CCA" w14:textId="77777777" w:rsidR="00052952" w:rsidRDefault="00052952" w:rsidP="00052952">
      <w:pPr>
        <w:shd w:val="clear" w:color="auto" w:fill="FFFFFF"/>
        <w:rPr>
          <w:color w:val="000000"/>
        </w:rPr>
      </w:pPr>
      <w:r>
        <w:rPr>
          <w:color w:val="000000"/>
        </w:rPr>
        <w:t>Thanks for all you do.</w:t>
      </w:r>
    </w:p>
    <w:p w14:paraId="1E93938B" w14:textId="77777777" w:rsidR="00052952" w:rsidRDefault="00052952" w:rsidP="00052952">
      <w:pPr>
        <w:shd w:val="clear" w:color="auto" w:fill="FFFFFF"/>
        <w:rPr>
          <w:color w:val="000000"/>
          <w:sz w:val="24"/>
          <w:szCs w:val="24"/>
        </w:rPr>
      </w:pPr>
    </w:p>
    <w:p w14:paraId="1E8FED07" w14:textId="77777777" w:rsidR="00052952" w:rsidRDefault="00052952" w:rsidP="00052952">
      <w:pPr>
        <w:shd w:val="clear" w:color="auto" w:fill="FFFFFF"/>
        <w:rPr>
          <w:color w:val="000000"/>
        </w:rPr>
      </w:pPr>
      <w:r>
        <w:rPr>
          <w:color w:val="000000"/>
        </w:rPr>
        <w:t>Warren</w:t>
      </w:r>
    </w:p>
    <w:p w14:paraId="1284DB7F" w14:textId="77777777" w:rsidR="00052952" w:rsidRDefault="00052952" w:rsidP="00052952">
      <w:pPr>
        <w:pStyle w:val="NormalWeb"/>
        <w:shd w:val="clear" w:color="auto" w:fill="FFFFFF"/>
        <w:spacing w:before="0" w:beforeAutospacing="0" w:after="0" w:afterAutospacing="0"/>
        <w:rPr>
          <w:color w:val="000000"/>
          <w:sz w:val="24"/>
          <w:szCs w:val="24"/>
        </w:rPr>
      </w:pPr>
    </w:p>
    <w:p w14:paraId="0DE54239" w14:textId="77777777" w:rsidR="00052952" w:rsidRDefault="00052952" w:rsidP="00052952">
      <w:pPr>
        <w:pStyle w:val="xxmsonormal"/>
        <w:shd w:val="clear" w:color="auto" w:fill="FFFFFF"/>
        <w:spacing w:before="0" w:beforeAutospacing="0" w:after="0" w:afterAutospacing="0"/>
        <w:rPr>
          <w:color w:val="000000"/>
          <w:sz w:val="24"/>
          <w:szCs w:val="24"/>
        </w:rPr>
      </w:pPr>
      <w:r>
        <w:rPr>
          <w:rFonts w:ascii="Helvetica" w:hAnsi="Helvetica" w:cs="Helvetica"/>
          <w:b/>
          <w:bCs/>
          <w:color w:val="757B80"/>
          <w:sz w:val="20"/>
          <w:szCs w:val="20"/>
        </w:rPr>
        <w:t>Warren Bolton</w:t>
      </w:r>
    </w:p>
    <w:p w14:paraId="2F2A4931" w14:textId="77777777" w:rsidR="00052952" w:rsidRDefault="00052952" w:rsidP="00052952">
      <w:pPr>
        <w:pStyle w:val="xxmsonormal"/>
        <w:shd w:val="clear" w:color="auto" w:fill="FFFFFF"/>
        <w:spacing w:before="0" w:beforeAutospacing="0" w:after="0" w:afterAutospacing="0"/>
        <w:rPr>
          <w:color w:val="000000"/>
          <w:sz w:val="24"/>
          <w:szCs w:val="24"/>
        </w:rPr>
      </w:pPr>
      <w:r>
        <w:rPr>
          <w:rFonts w:ascii="Helvetica" w:hAnsi="Helvetica" w:cs="Helvetica"/>
          <w:color w:val="757B80"/>
          <w:sz w:val="20"/>
          <w:szCs w:val="20"/>
        </w:rPr>
        <w:t>Communications Liaison</w:t>
      </w:r>
    </w:p>
    <w:p w14:paraId="0446B765" w14:textId="77777777" w:rsidR="00052952" w:rsidRDefault="00052952" w:rsidP="00052952">
      <w:pPr>
        <w:pStyle w:val="xxmsonormal"/>
        <w:shd w:val="clear" w:color="auto" w:fill="FFFFFF"/>
        <w:spacing w:before="0" w:beforeAutospacing="0" w:after="0" w:afterAutospacing="0"/>
        <w:rPr>
          <w:color w:val="000000"/>
          <w:sz w:val="24"/>
          <w:szCs w:val="24"/>
        </w:rPr>
      </w:pPr>
      <w:r>
        <w:rPr>
          <w:rFonts w:ascii="Helvetica" w:hAnsi="Helvetica" w:cs="Helvetica"/>
          <w:color w:val="757B80"/>
          <w:sz w:val="20"/>
          <w:szCs w:val="20"/>
        </w:rPr>
        <w:t>Bureau of Communicable Disease Prevention and Control</w:t>
      </w:r>
    </w:p>
    <w:p w14:paraId="27F641F5" w14:textId="77777777" w:rsidR="00052952" w:rsidRDefault="00052952" w:rsidP="00052952">
      <w:pPr>
        <w:pStyle w:val="xxmsonormal"/>
        <w:shd w:val="clear" w:color="auto" w:fill="FFFFFF"/>
        <w:spacing w:before="0" w:beforeAutospacing="0" w:after="0" w:afterAutospacing="0"/>
        <w:rPr>
          <w:color w:val="000000"/>
          <w:sz w:val="24"/>
          <w:szCs w:val="24"/>
        </w:rPr>
      </w:pPr>
      <w:r>
        <w:rPr>
          <w:rFonts w:ascii="Helvetica" w:hAnsi="Helvetica" w:cs="Helvetica"/>
          <w:b/>
          <w:bCs/>
          <w:color w:val="757B80"/>
          <w:sz w:val="20"/>
          <w:szCs w:val="20"/>
        </w:rPr>
        <w:t>S.C. Dept. of Health &amp; Environmental Control</w:t>
      </w:r>
    </w:p>
    <w:p w14:paraId="2D4D2A8C" w14:textId="77777777" w:rsidR="00052952" w:rsidRDefault="00052952" w:rsidP="00052952">
      <w:pPr>
        <w:pStyle w:val="xxmsonormal"/>
        <w:shd w:val="clear" w:color="auto" w:fill="FFFFFF"/>
        <w:spacing w:before="0" w:beforeAutospacing="0" w:after="0" w:afterAutospacing="0"/>
        <w:rPr>
          <w:color w:val="000000"/>
          <w:sz w:val="24"/>
          <w:szCs w:val="24"/>
        </w:rPr>
      </w:pPr>
      <w:r>
        <w:rPr>
          <w:rFonts w:ascii="Helvetica" w:hAnsi="Helvetica" w:cs="Helvetica"/>
          <w:color w:val="757B80"/>
          <w:sz w:val="20"/>
          <w:szCs w:val="20"/>
        </w:rPr>
        <w:t>Office:</w:t>
      </w:r>
      <w:proofErr w:type="gramStart"/>
      <w:r>
        <w:rPr>
          <w:rFonts w:ascii="Helvetica" w:hAnsi="Helvetica" w:cs="Helvetica"/>
          <w:color w:val="757B80"/>
          <w:sz w:val="20"/>
          <w:szCs w:val="20"/>
        </w:rPr>
        <w:t xml:space="preserve">   (</w:t>
      </w:r>
      <w:proofErr w:type="gramEnd"/>
      <w:r>
        <w:rPr>
          <w:rFonts w:ascii="Helvetica" w:hAnsi="Helvetica" w:cs="Helvetica"/>
          <w:color w:val="757B80"/>
          <w:sz w:val="20"/>
          <w:szCs w:val="20"/>
        </w:rPr>
        <w:t>803) 898-3670</w:t>
      </w:r>
    </w:p>
    <w:p w14:paraId="04660ED6" w14:textId="77777777" w:rsidR="00052952" w:rsidRDefault="00052952" w:rsidP="00052952">
      <w:pPr>
        <w:pStyle w:val="xxmsonormal"/>
        <w:shd w:val="clear" w:color="auto" w:fill="FFFFFF"/>
        <w:spacing w:before="0" w:beforeAutospacing="0" w:after="0" w:afterAutospacing="0"/>
        <w:rPr>
          <w:color w:val="000000"/>
          <w:sz w:val="24"/>
          <w:szCs w:val="24"/>
        </w:rPr>
      </w:pPr>
      <w:r>
        <w:rPr>
          <w:rFonts w:ascii="Helvetica" w:hAnsi="Helvetica" w:cs="Helvetica"/>
          <w:color w:val="757B80"/>
          <w:sz w:val="20"/>
          <w:szCs w:val="20"/>
        </w:rPr>
        <w:t>Mobile: (803) 261-5241</w:t>
      </w:r>
    </w:p>
    <w:p w14:paraId="5A53D047" w14:textId="77777777" w:rsidR="00052952" w:rsidRDefault="00052952" w:rsidP="00052952">
      <w:pPr>
        <w:pStyle w:val="NormalWeb"/>
        <w:shd w:val="clear" w:color="auto" w:fill="FFFFFF"/>
        <w:spacing w:before="0" w:beforeAutospacing="0" w:after="0" w:afterAutospacing="0"/>
        <w:rPr>
          <w:rFonts w:ascii="Arial" w:hAnsi="Arial" w:cs="Arial"/>
          <w:color w:val="919191"/>
          <w:sz w:val="20"/>
          <w:szCs w:val="20"/>
        </w:rPr>
      </w:pPr>
      <w:r>
        <w:rPr>
          <w:rFonts w:ascii="Arial" w:hAnsi="Arial" w:cs="Arial"/>
          <w:color w:val="919191"/>
          <w:sz w:val="20"/>
          <w:szCs w:val="20"/>
        </w:rPr>
        <w:t>Connect: </w:t>
      </w:r>
      <w:hyperlink r:id="rId97" w:tgtFrame="_blank" w:history="1">
        <w:r>
          <w:rPr>
            <w:rStyle w:val="Hyperlink"/>
            <w:rFonts w:ascii="Arial" w:hAnsi="Arial" w:cs="Arial"/>
            <w:sz w:val="20"/>
            <w:szCs w:val="20"/>
          </w:rPr>
          <w:t>www.scdhec.gov</w:t>
        </w:r>
      </w:hyperlink>
      <w:r>
        <w:rPr>
          <w:rFonts w:ascii="Arial" w:hAnsi="Arial" w:cs="Arial"/>
          <w:color w:val="919191"/>
          <w:sz w:val="20"/>
          <w:szCs w:val="20"/>
        </w:rPr>
        <w:t>  </w:t>
      </w:r>
      <w:hyperlink r:id="rId98" w:tgtFrame="_blank" w:history="1">
        <w:r>
          <w:rPr>
            <w:rStyle w:val="Hyperlink"/>
            <w:rFonts w:ascii="Arial" w:hAnsi="Arial" w:cs="Arial"/>
            <w:sz w:val="20"/>
            <w:szCs w:val="20"/>
          </w:rPr>
          <w:t>Facebook</w:t>
        </w:r>
      </w:hyperlink>
      <w:r>
        <w:rPr>
          <w:rFonts w:ascii="Arial" w:hAnsi="Arial" w:cs="Arial"/>
          <w:color w:val="919191"/>
          <w:sz w:val="20"/>
          <w:szCs w:val="20"/>
        </w:rPr>
        <w:t>  </w:t>
      </w:r>
      <w:hyperlink r:id="rId99" w:tgtFrame="_blank" w:history="1">
        <w:r>
          <w:rPr>
            <w:rStyle w:val="Hyperlink"/>
            <w:rFonts w:ascii="Arial" w:hAnsi="Arial" w:cs="Arial"/>
            <w:sz w:val="20"/>
            <w:szCs w:val="20"/>
          </w:rPr>
          <w:t>Twitter</w:t>
        </w:r>
      </w:hyperlink>
    </w:p>
    <w:p w14:paraId="5C6A17E5" w14:textId="4B565564" w:rsidR="00052952" w:rsidRDefault="00052952" w:rsidP="00052952">
      <w:pPr>
        <w:pStyle w:val="NormalWeb"/>
        <w:shd w:val="clear" w:color="auto" w:fill="FFFFFF"/>
        <w:spacing w:before="0" w:beforeAutospacing="0" w:after="0" w:afterAutospacing="0"/>
        <w:rPr>
          <w:rFonts w:ascii="Arial" w:hAnsi="Arial" w:cs="Arial"/>
          <w:color w:val="919191"/>
          <w:sz w:val="20"/>
          <w:szCs w:val="20"/>
        </w:rPr>
      </w:pPr>
      <w:r>
        <w:rPr>
          <w:rFonts w:ascii="Arial" w:hAnsi="Arial" w:cs="Arial"/>
          <w:noProof/>
          <w:color w:val="919191"/>
          <w:sz w:val="20"/>
          <w:szCs w:val="20"/>
        </w:rPr>
        <w:drawing>
          <wp:inline distT="0" distB="0" distL="0" distR="0" wp14:anchorId="3EA52DEA" wp14:editId="27FA608A">
            <wp:extent cx="17145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752475"/>
                    </a:xfrm>
                    <a:prstGeom prst="rect">
                      <a:avLst/>
                    </a:prstGeom>
                    <a:noFill/>
                    <a:ln>
                      <a:noFill/>
                    </a:ln>
                  </pic:spPr>
                </pic:pic>
              </a:graphicData>
            </a:graphic>
          </wp:inline>
        </w:drawing>
      </w:r>
    </w:p>
    <w:p w14:paraId="6D239FCE" w14:textId="77777777" w:rsidR="00052952" w:rsidRDefault="00052952" w:rsidP="00052952">
      <w:pPr>
        <w:rPr>
          <w:rFonts w:ascii="Arial" w:hAnsi="Arial" w:cs="Arial"/>
          <w:sz w:val="28"/>
          <w:szCs w:val="28"/>
        </w:rPr>
      </w:pPr>
    </w:p>
    <w:p w14:paraId="0AB68618" w14:textId="77777777" w:rsidR="00052952" w:rsidRDefault="00052952" w:rsidP="00052952"/>
    <w:tbl>
      <w:tblPr>
        <w:tblW w:w="21834" w:type="dxa"/>
        <w:tblInd w:w="108" w:type="dxa"/>
        <w:tblCellMar>
          <w:left w:w="0" w:type="dxa"/>
          <w:right w:w="0" w:type="dxa"/>
        </w:tblCellMar>
        <w:tblLook w:val="04A0" w:firstRow="1" w:lastRow="0" w:firstColumn="1" w:lastColumn="0" w:noHBand="0" w:noVBand="1"/>
      </w:tblPr>
      <w:tblGrid>
        <w:gridCol w:w="21834"/>
      </w:tblGrid>
      <w:tr w:rsidR="00052952" w14:paraId="7FBE9F3F" w14:textId="77777777" w:rsidTr="00052952">
        <w:tc>
          <w:tcPr>
            <w:tcW w:w="21834" w:type="dxa"/>
            <w:tcMar>
              <w:top w:w="0" w:type="dxa"/>
              <w:left w:w="108" w:type="dxa"/>
              <w:bottom w:w="0" w:type="dxa"/>
              <w:right w:w="108" w:type="dxa"/>
            </w:tcMar>
            <w:hideMark/>
          </w:tcPr>
          <w:p w14:paraId="1742FBB2" w14:textId="77777777" w:rsidR="00052952" w:rsidRDefault="00052952">
            <w:pPr>
              <w:rPr>
                <w:rFonts w:ascii="Times New Roman" w:hAnsi="Times New Roman" w:cs="Times New Roman"/>
                <w:sz w:val="18"/>
                <w:szCs w:val="18"/>
              </w:rPr>
            </w:pPr>
            <w:r>
              <w:rPr>
                <w:rFonts w:ascii="Arial" w:hAnsi="Arial" w:cs="Arial"/>
                <w:b/>
                <w:bCs/>
                <w:i/>
                <w:iCs/>
                <w:color w:val="808080"/>
                <w:sz w:val="18"/>
                <w:szCs w:val="18"/>
              </w:rPr>
              <w:t>CONFIDENTIALITY NOTICE:</w:t>
            </w:r>
            <w:r>
              <w:rPr>
                <w:rFonts w:ascii="Arial" w:hAnsi="Arial" w:cs="Arial"/>
                <w:i/>
                <w:iCs/>
                <w:color w:val="808080"/>
                <w:sz w:val="18"/>
                <w:szCs w:val="18"/>
              </w:rPr>
              <w:t> This electronic message and any attachments may be confidential, protected from disclosure, and/or intended only for the use of the individual or entity to whom it was addressed. Any interception, copying, accessing, distribution, disclosure or any action taken in reliance on the information contained in this message is strictly prohibited. If you have received this message in error, please purge the email and destroy any printed copies immediately.</w:t>
            </w:r>
          </w:p>
        </w:tc>
      </w:tr>
    </w:tbl>
    <w:p w14:paraId="4EF02DF2" w14:textId="77777777" w:rsidR="00052952" w:rsidRDefault="00052952" w:rsidP="00052952"/>
    <w:p w14:paraId="6F1F72B4" w14:textId="77777777" w:rsidR="00052952" w:rsidRDefault="00052952" w:rsidP="00052952"/>
    <w:p w14:paraId="248062C5" w14:textId="77777777" w:rsidR="00052952" w:rsidRDefault="00052952" w:rsidP="00052952">
      <w:pPr>
        <w:rPr>
          <w:rFonts w:ascii="Arial" w:hAnsi="Arial" w:cs="Arial"/>
          <w:sz w:val="28"/>
          <w:szCs w:val="28"/>
        </w:rPr>
      </w:pPr>
    </w:p>
    <w:p w14:paraId="6C59F150" w14:textId="77777777" w:rsidR="00052952" w:rsidRDefault="00052952" w:rsidP="00052952"/>
    <w:p w14:paraId="518B6A6B" w14:textId="77777777" w:rsidR="00052952" w:rsidRDefault="00052952" w:rsidP="00052952"/>
    <w:p w14:paraId="7724EA6B" w14:textId="77777777" w:rsidR="0063600C" w:rsidRDefault="0063600C"/>
    <w:sectPr w:rsidR="0063600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C69"/>
    <w:multiLevelType w:val="multilevel"/>
    <w:tmpl w:val="9BFA3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A44891"/>
    <w:multiLevelType w:val="hybridMultilevel"/>
    <w:tmpl w:val="33AE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F31351"/>
    <w:multiLevelType w:val="hybridMultilevel"/>
    <w:tmpl w:val="4296D340"/>
    <w:lvl w:ilvl="0" w:tplc="8164596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2"/>
    <w:rsid w:val="00052952"/>
    <w:rsid w:val="006360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1AA6"/>
  <w15:docId w15:val="{E368CF2F-DB5B-4623-BA3B-42FABF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52"/>
    <w:pPr>
      <w:spacing w:after="0" w:line="240" w:lineRule="auto"/>
    </w:pPr>
    <w:rPr>
      <w:rFonts w:ascii="Calibri" w:eastAsiaTheme="minorHAnsi" w:hAnsi="Calibri" w:cs="Calibri"/>
      <w:lang w:eastAsia="en-US"/>
    </w:rPr>
  </w:style>
  <w:style w:type="paragraph" w:styleId="Heading2">
    <w:name w:val="heading 2"/>
    <w:basedOn w:val="Normal"/>
    <w:link w:val="Heading2Char"/>
    <w:uiPriority w:val="9"/>
    <w:semiHidden/>
    <w:unhideWhenUsed/>
    <w:qFormat/>
    <w:rsid w:val="000529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2952"/>
    <w:rPr>
      <w:rFonts w:ascii="Calibri" w:eastAsiaTheme="minorHAnsi" w:hAnsi="Calibri" w:cs="Calibri"/>
      <w:b/>
      <w:bCs/>
      <w:sz w:val="36"/>
      <w:szCs w:val="36"/>
      <w:lang w:eastAsia="en-US"/>
    </w:rPr>
  </w:style>
  <w:style w:type="character" w:styleId="Hyperlink">
    <w:name w:val="Hyperlink"/>
    <w:basedOn w:val="DefaultParagraphFont"/>
    <w:uiPriority w:val="99"/>
    <w:semiHidden/>
    <w:unhideWhenUsed/>
    <w:rsid w:val="00052952"/>
    <w:rPr>
      <w:color w:val="0563C1"/>
      <w:u w:val="single"/>
    </w:rPr>
  </w:style>
  <w:style w:type="paragraph" w:styleId="NormalWeb">
    <w:name w:val="Normal (Web)"/>
    <w:basedOn w:val="Normal"/>
    <w:uiPriority w:val="99"/>
    <w:semiHidden/>
    <w:unhideWhenUsed/>
    <w:rsid w:val="00052952"/>
    <w:pPr>
      <w:spacing w:before="100" w:beforeAutospacing="1" w:after="100" w:afterAutospacing="1"/>
    </w:pPr>
  </w:style>
  <w:style w:type="paragraph" w:styleId="ListParagraph">
    <w:name w:val="List Paragraph"/>
    <w:basedOn w:val="Normal"/>
    <w:uiPriority w:val="34"/>
    <w:qFormat/>
    <w:rsid w:val="00052952"/>
    <w:pPr>
      <w:ind w:left="720"/>
      <w:contextualSpacing/>
    </w:pPr>
    <w:rPr>
      <w:sz w:val="24"/>
      <w:szCs w:val="24"/>
    </w:rPr>
  </w:style>
  <w:style w:type="paragraph" w:customStyle="1" w:styleId="xxmsonormal">
    <w:name w:val="x_x_msonormal"/>
    <w:basedOn w:val="Normal"/>
    <w:uiPriority w:val="99"/>
    <w:semiHidden/>
    <w:rsid w:val="00052952"/>
    <w:pPr>
      <w:spacing w:before="100" w:beforeAutospacing="1" w:after="100" w:afterAutospacing="1"/>
    </w:pPr>
  </w:style>
  <w:style w:type="character" w:customStyle="1" w:styleId="apple-converted-space">
    <w:name w:val="apple-converted-space"/>
    <w:basedOn w:val="DefaultParagraphFont"/>
    <w:rsid w:val="00052952"/>
  </w:style>
  <w:style w:type="character" w:styleId="Strong">
    <w:name w:val="Strong"/>
    <w:basedOn w:val="DefaultParagraphFont"/>
    <w:uiPriority w:val="22"/>
    <w:qFormat/>
    <w:rsid w:val="00052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7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schealthclimate.org" TargetMode="External"/><Relationship Id="rId21" Type="http://schemas.openxmlformats.org/officeDocument/2006/relationships/hyperlink" Target="https://www.cdc.gov/vaccines/imz-managers/coverage/teenvaxview/data-reports/hpv/index.html" TargetMode="External"/><Relationship Id="rId34" Type="http://schemas.openxmlformats.org/officeDocument/2006/relationships/hyperlink" Target="https://www.cisa.sc.edu/ccrc/" TargetMode="External"/><Relationship Id="rId42" Type="http://schemas.openxmlformats.org/officeDocument/2006/relationships/image" Target="media/image6.jpeg"/><Relationship Id="rId47" Type="http://schemas.openxmlformats.org/officeDocument/2006/relationships/hyperlink" Target="https://www.scstatehouse.gov/sess124_2021-2022/bills/3214.htm" TargetMode="External"/><Relationship Id="rId50" Type="http://schemas.openxmlformats.org/officeDocument/2006/relationships/hyperlink" Target="https://www.scstatehouse.gov/sess124_2021-2022/bills/3224.htm" TargetMode="External"/><Relationship Id="rId55" Type="http://schemas.openxmlformats.org/officeDocument/2006/relationships/hyperlink" Target="https://www.scstatehouse.gov/sess124_2021-2022/bills/230.htm" TargetMode="External"/><Relationship Id="rId63" Type="http://schemas.openxmlformats.org/officeDocument/2006/relationships/hyperlink" Target="https://www.scstatehouse.gov/sess124_2021-2022/bills/231.htm" TargetMode="External"/><Relationship Id="rId68" Type="http://schemas.openxmlformats.org/officeDocument/2006/relationships/hyperlink" Target="https://www.scstatehouse.gov/sess124_2021-2022/bills/3336.htm" TargetMode="External"/><Relationship Id="rId76" Type="http://schemas.openxmlformats.org/officeDocument/2006/relationships/hyperlink" Target="https://www.scstatehouse.gov/sess124_2021-2022/bills/3174.htm" TargetMode="External"/><Relationship Id="rId84" Type="http://schemas.openxmlformats.org/officeDocument/2006/relationships/hyperlink" Target="https://www.scstatehouse.gov/sess124_2021-2022/bills/3327.htm" TargetMode="External"/><Relationship Id="rId89" Type="http://schemas.openxmlformats.org/officeDocument/2006/relationships/hyperlink" Target="https://www.scstatehouse.gov/sess124_2021-2022/bills/210.htm" TargetMode="External"/><Relationship Id="rId97" Type="http://schemas.openxmlformats.org/officeDocument/2006/relationships/hyperlink" Target="http://www.scdhec.gov/" TargetMode="External"/><Relationship Id="rId7" Type="http://schemas.openxmlformats.org/officeDocument/2006/relationships/webSettings" Target="webSettings.xml"/><Relationship Id="rId71" Type="http://schemas.openxmlformats.org/officeDocument/2006/relationships/hyperlink" Target="https://www.scstatehouse.gov/sess124_2021-2022/bills/3232.htm" TargetMode="External"/><Relationship Id="rId92" Type="http://schemas.openxmlformats.org/officeDocument/2006/relationships/hyperlink" Target="https://www.scstatehouse.gov/sess124_2021-2022/bills/3573.htm" TargetMode="External"/><Relationship Id="rId2" Type="http://schemas.openxmlformats.org/officeDocument/2006/relationships/customXml" Target="../customXml/item2.xml"/><Relationship Id="rId16" Type="http://schemas.openxmlformats.org/officeDocument/2006/relationships/hyperlink" Target="https://babynet.scdhhs.gov/" TargetMode="External"/><Relationship Id="rId29" Type="http://schemas.openxmlformats.org/officeDocument/2006/relationships/hyperlink" Target="https://www.virginiaclinicians.org/webinars" TargetMode="External"/><Relationship Id="rId11" Type="http://schemas.openxmlformats.org/officeDocument/2006/relationships/hyperlink" Target="https://www.scstatehouse.gov/billsearch.php?billnumbers=0498&amp;session=124&amp;summary=B" TargetMode="External"/><Relationship Id="rId24" Type="http://schemas.openxmlformats.org/officeDocument/2006/relationships/hyperlink" Target="https://web.musc.edu/about/news-center/2020/09/03/hpv-vaccination-rates-rise-in-south-carolina" TargetMode="External"/><Relationship Id="rId32" Type="http://schemas.openxmlformats.org/officeDocument/2006/relationships/hyperlink" Target="https://www.scipl.org/" TargetMode="External"/><Relationship Id="rId37" Type="http://schemas.openxmlformats.org/officeDocument/2006/relationships/hyperlink" Target="mailto:info@schealthclimate.org" TargetMode="External"/><Relationship Id="rId40" Type="http://schemas.openxmlformats.org/officeDocument/2006/relationships/hyperlink" Target="http://schealthclimate.org" TargetMode="External"/><Relationship Id="rId45" Type="http://schemas.openxmlformats.org/officeDocument/2006/relationships/hyperlink" Target="https://www.scstatehouse.gov/sess124_2021-2022/bills/221.htm" TargetMode="External"/><Relationship Id="rId53" Type="http://schemas.openxmlformats.org/officeDocument/2006/relationships/hyperlink" Target="https://www.scstatehouse.gov/sess124_2021-2022/bills/229.htm" TargetMode="External"/><Relationship Id="rId58" Type="http://schemas.openxmlformats.org/officeDocument/2006/relationships/hyperlink" Target="https://www.scstatehouse.gov/sess124_2021-2022/bills/3219.htm" TargetMode="External"/><Relationship Id="rId66" Type="http://schemas.openxmlformats.org/officeDocument/2006/relationships/hyperlink" Target="https://www.scstatehouse.gov/sess124_2021-2022/bills/3245.htm" TargetMode="External"/><Relationship Id="rId74" Type="http://schemas.openxmlformats.org/officeDocument/2006/relationships/hyperlink" Target="https://www.scstatehouse.gov/sess124_2021-2022/bills/3371.htm" TargetMode="External"/><Relationship Id="rId79" Type="http://schemas.openxmlformats.org/officeDocument/2006/relationships/hyperlink" Target="https://www.scstatehouse.gov/sess124_2021-2022/bills/151.htm" TargetMode="External"/><Relationship Id="rId87" Type="http://schemas.openxmlformats.org/officeDocument/2006/relationships/hyperlink" Target="https://www.scstatehouse.gov/sess124_2021-2022/bills/3179.htm" TargetMode="External"/><Relationship Id="rId5" Type="http://schemas.openxmlformats.org/officeDocument/2006/relationships/styles" Target="styles.xml"/><Relationship Id="rId61" Type="http://schemas.openxmlformats.org/officeDocument/2006/relationships/hyperlink" Target="https://www.scstatehouse.gov/sess124_2021-2022/bills/26.htm" TargetMode="External"/><Relationship Id="rId82" Type="http://schemas.openxmlformats.org/officeDocument/2006/relationships/hyperlink" Target="https://www.scstatehouse.gov/sess124_2021-2022/bills/269.htm" TargetMode="External"/><Relationship Id="rId90" Type="http://schemas.openxmlformats.org/officeDocument/2006/relationships/hyperlink" Target="https://www.scstatehouse.gov/sess124_2021-2022/bills/3171.htm" TargetMode="External"/><Relationship Id="rId95" Type="http://schemas.openxmlformats.org/officeDocument/2006/relationships/hyperlink" Target="https://scdhec.gov/covid19" TargetMode="External"/><Relationship Id="rId19" Type="http://schemas.openxmlformats.org/officeDocument/2006/relationships/hyperlink" Target="https://twitter.com/scdhec" TargetMode="External"/><Relationship Id="rId14" Type="http://schemas.openxmlformats.org/officeDocument/2006/relationships/hyperlink" Target="https://www.scstatehouse.gov/billsearch.php?billnumbers=3243&amp;session=124&amp;summary=B" TargetMode="External"/><Relationship Id="rId22" Type="http://schemas.openxmlformats.org/officeDocument/2006/relationships/hyperlink" Target="https://muschealth.org/MUSCApps/providerdirectory/Roberts-James" TargetMode="External"/><Relationship Id="rId27" Type="http://schemas.openxmlformats.org/officeDocument/2006/relationships/hyperlink" Target="mailto:info@schealthclimate.org" TargetMode="External"/><Relationship Id="rId30" Type="http://schemas.openxmlformats.org/officeDocument/2006/relationships/hyperlink" Target="https://www.virginiaclinicians.org/webinars" TargetMode="External"/><Relationship Id="rId35" Type="http://schemas.openxmlformats.org/officeDocument/2006/relationships/hyperlink" Target="https://www.youtube.com/watch?feature=youtu.be&amp;v=OWXoRSIxyIU&amp;app=desktop" TargetMode="External"/><Relationship Id="rId43" Type="http://schemas.openxmlformats.org/officeDocument/2006/relationships/image" Target="cid:image005.jpg@01D70625.92EA8A80" TargetMode="External"/><Relationship Id="rId48" Type="http://schemas.openxmlformats.org/officeDocument/2006/relationships/hyperlink" Target="https://www.scstatehouse.gov/sess124_2021-2022/bills/223.htm" TargetMode="External"/><Relationship Id="rId56" Type="http://schemas.openxmlformats.org/officeDocument/2006/relationships/hyperlink" Target="https://www.scstatehouse.gov/sess124_2021-2022/bills/288.htm" TargetMode="External"/><Relationship Id="rId64" Type="http://schemas.openxmlformats.org/officeDocument/2006/relationships/hyperlink" Target="https://www.scstatehouse.gov/sess124_2021-2022/bills/3166.htm" TargetMode="External"/><Relationship Id="rId69" Type="http://schemas.openxmlformats.org/officeDocument/2006/relationships/hyperlink" Target="https://www.scstatehouse.gov/sess124_2021-2022/bills/379.htm" TargetMode="External"/><Relationship Id="rId77" Type="http://schemas.openxmlformats.org/officeDocument/2006/relationships/hyperlink" Target="https://www.scstatehouse.gov/sess124_2021-2022/bills/3228.htm" TargetMode="External"/><Relationship Id="rId100" Type="http://schemas.openxmlformats.org/officeDocument/2006/relationships/fontTable" Target="fontTable.xml"/><Relationship Id="rId8" Type="http://schemas.openxmlformats.org/officeDocument/2006/relationships/hyperlink" Target="http://www.scaap.org/" TargetMode="External"/><Relationship Id="rId51" Type="http://schemas.openxmlformats.org/officeDocument/2006/relationships/hyperlink" Target="https://www.scstatehouse.gov/sess124_2021-2022/bills/225.htm" TargetMode="External"/><Relationship Id="rId72" Type="http://schemas.openxmlformats.org/officeDocument/2006/relationships/hyperlink" Target="https://www.scstatehouse.gov/sess124_2021-2022/bills/3233.htm" TargetMode="External"/><Relationship Id="rId80" Type="http://schemas.openxmlformats.org/officeDocument/2006/relationships/hyperlink" Target="https://www.scstatehouse.gov/sess124_2021-2022/bills/3175.htm" TargetMode="External"/><Relationship Id="rId85" Type="http://schemas.openxmlformats.org/officeDocument/2006/relationships/hyperlink" Target="https://www.scstatehouse.gov/sess124_2021-2022/bills/314.htm" TargetMode="External"/><Relationship Id="rId93" Type="http://schemas.openxmlformats.org/officeDocument/2006/relationships/hyperlink" Target="https://scdhec.gov/covid19/covid-19-vaccine" TargetMode="External"/><Relationship Id="rId98" Type="http://schemas.openxmlformats.org/officeDocument/2006/relationships/hyperlink" Target="https://www.facebook.com/SCDHEC" TargetMode="External"/><Relationship Id="rId3" Type="http://schemas.openxmlformats.org/officeDocument/2006/relationships/customXml" Target="../customXml/item3.xml"/><Relationship Id="rId12" Type="http://schemas.openxmlformats.org/officeDocument/2006/relationships/hyperlink" Target="https://www.scstatehouse.gov/billsearch.php?billnumbers=3681&amp;session=124&amp;summary=B" TargetMode="External"/><Relationship Id="rId17" Type="http://schemas.openxmlformats.org/officeDocument/2006/relationships/hyperlink" Target="http://www.scdhec.gov/" TargetMode="External"/><Relationship Id="rId25" Type="http://schemas.openxmlformats.org/officeDocument/2006/relationships/image" Target="media/image2.jpeg"/><Relationship Id="rId33" Type="http://schemas.openxmlformats.org/officeDocument/2006/relationships/hyperlink" Target="https://zoom.us/meeting/register/tJIucOGsqjMrH9GVCdZullq1Qew0gqnfZeqz" TargetMode="External"/><Relationship Id="rId38" Type="http://schemas.openxmlformats.org/officeDocument/2006/relationships/hyperlink" Target="http://www.schealthclimate.org" TargetMode="External"/><Relationship Id="rId46" Type="http://schemas.openxmlformats.org/officeDocument/2006/relationships/hyperlink" Target="https://www.scstatehouse.gov/sess124_2021-2022/bills/222.htm" TargetMode="External"/><Relationship Id="rId59" Type="http://schemas.openxmlformats.org/officeDocument/2006/relationships/hyperlink" Target="https://www.scstatehouse.gov/sess124_2021-2022/bills/3371.htm" TargetMode="External"/><Relationship Id="rId67" Type="http://schemas.openxmlformats.org/officeDocument/2006/relationships/hyperlink" Target="https://www.scstatehouse.gov/sess124_2021-2022/bills/3464.htm" TargetMode="External"/><Relationship Id="rId20" Type="http://schemas.openxmlformats.org/officeDocument/2006/relationships/image" Target="media/image1.jpeg"/><Relationship Id="rId41" Type="http://schemas.openxmlformats.org/officeDocument/2006/relationships/image" Target="media/image5.jpeg"/><Relationship Id="rId54" Type="http://schemas.openxmlformats.org/officeDocument/2006/relationships/hyperlink" Target="https://www.scstatehouse.gov/sess124_2021-2022/bills/3209.htm" TargetMode="External"/><Relationship Id="rId62" Type="http://schemas.openxmlformats.org/officeDocument/2006/relationships/hyperlink" Target="https://www.scstatehouse.gov/sess124_2021-2022/bills/23.htm" TargetMode="External"/><Relationship Id="rId70" Type="http://schemas.openxmlformats.org/officeDocument/2006/relationships/hyperlink" Target="https://www.scstatehouse.gov/sess124_2021-2022/bills/3225.htm" TargetMode="External"/><Relationship Id="rId75" Type="http://schemas.openxmlformats.org/officeDocument/2006/relationships/hyperlink" Target="https://www.scstatehouse.gov/sess124_2021-2022/bills/335.htm" TargetMode="External"/><Relationship Id="rId83" Type="http://schemas.openxmlformats.org/officeDocument/2006/relationships/hyperlink" Target="https://www.scstatehouse.gov/sess124_2021-2022/bills/287.htm" TargetMode="External"/><Relationship Id="rId88" Type="http://schemas.openxmlformats.org/officeDocument/2006/relationships/hyperlink" Target="https://www.scstatehouse.gov/sess124_2021-2022/bills/3230.htm" TargetMode="External"/><Relationship Id="rId91" Type="http://schemas.openxmlformats.org/officeDocument/2006/relationships/hyperlink" Target="https://www.scstatehouse.gov/sess124_2021-2022/bills/3226.htm" TargetMode="External"/><Relationship Id="rId96" Type="http://schemas.openxmlformats.org/officeDocument/2006/relationships/hyperlink" Target="https://scdhec.gov/covid19/frequently-asked-questions-covid-19"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forms.gle/Q99oTwhagdqzVoa89" TargetMode="External"/><Relationship Id="rId23" Type="http://schemas.openxmlformats.org/officeDocument/2006/relationships/hyperlink" Target="mailto:whitashl@musc.edu" TargetMode="External"/><Relationship Id="rId28" Type="http://schemas.openxmlformats.org/officeDocument/2006/relationships/image" Target="media/image3.png"/><Relationship Id="rId36" Type="http://schemas.openxmlformats.org/officeDocument/2006/relationships/hyperlink" Target="mailto:info@schealthclimate.org" TargetMode="External"/><Relationship Id="rId49" Type="http://schemas.openxmlformats.org/officeDocument/2006/relationships/hyperlink" Target="https://www.scstatehouse.gov/sess124_2021-2022/bills/224.htm" TargetMode="External"/><Relationship Id="rId57" Type="http://schemas.openxmlformats.org/officeDocument/2006/relationships/hyperlink" Target="https://www.scstatehouse.gov/sess124_2021-2022/bills/3113.htm" TargetMode="External"/><Relationship Id="rId10" Type="http://schemas.openxmlformats.org/officeDocument/2006/relationships/hyperlink" Target="http://www.scaap.org/advocacy" TargetMode="External"/><Relationship Id="rId31" Type="http://schemas.openxmlformats.org/officeDocument/2006/relationships/image" Target="media/image4.png"/><Relationship Id="rId44" Type="http://schemas.openxmlformats.org/officeDocument/2006/relationships/hyperlink" Target="mailto:maggie@scchildrenshospitals.org" TargetMode="External"/><Relationship Id="rId52" Type="http://schemas.openxmlformats.org/officeDocument/2006/relationships/hyperlink" Target="https://www.scstatehouse.gov/sess124_2021-2022/bills/3215.htm" TargetMode="External"/><Relationship Id="rId60" Type="http://schemas.openxmlformats.org/officeDocument/2006/relationships/hyperlink" Target="https://www.scstatehouse.gov/sess124_2021-2022/bills/6.htm" TargetMode="External"/><Relationship Id="rId65" Type="http://schemas.openxmlformats.org/officeDocument/2006/relationships/hyperlink" Target="https://www.scstatehouse.gov/sess124_2021-2022/bills/3234.htm" TargetMode="External"/><Relationship Id="rId73" Type="http://schemas.openxmlformats.org/officeDocument/2006/relationships/hyperlink" Target="https://www.scstatehouse.gov/sess124_2021-2022/bills/3510.htm" TargetMode="External"/><Relationship Id="rId78" Type="http://schemas.openxmlformats.org/officeDocument/2006/relationships/hyperlink" Target="https://www.scstatehouse.gov/sess124_2021-2022/bills/3361.htm" TargetMode="External"/><Relationship Id="rId81" Type="http://schemas.openxmlformats.org/officeDocument/2006/relationships/hyperlink" Target="https://www.scstatehouse.gov/sess124_2021-2022/bills/265.htm" TargetMode="External"/><Relationship Id="rId86" Type="http://schemas.openxmlformats.org/officeDocument/2006/relationships/hyperlink" Target="https://www.scstatehouse.gov/sess124_2021-2022/bills/3217.htm" TargetMode="External"/><Relationship Id="rId94" Type="http://schemas.openxmlformats.org/officeDocument/2006/relationships/hyperlink" Target="https://scdhec.gov/covid19/covid-19-vaccination/covid-19-vaccine-faqs" TargetMode="External"/><Relationship Id="rId99" Type="http://schemas.openxmlformats.org/officeDocument/2006/relationships/hyperlink" Target="https://twitter.com/scdhec" TargetMode="Externa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robertsaul@me.com" TargetMode="External"/><Relationship Id="rId13" Type="http://schemas.openxmlformats.org/officeDocument/2006/relationships/hyperlink" Target="https://www.scstatehouse.gov/billsearch.php?billnumbers=0024&amp;session=124&amp;summary=B" TargetMode="External"/><Relationship Id="rId18" Type="http://schemas.openxmlformats.org/officeDocument/2006/relationships/hyperlink" Target="https://www.facebook.com/SCDHEC" TargetMode="External"/><Relationship Id="rId39" Type="http://schemas.openxmlformats.org/officeDocument/2006/relationships/hyperlink" Target="mailto:info@schealthclimat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p2010/societies/SCCAAP/Shared%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20A35B48198438A4CC1CD451218FB" ma:contentTypeVersion="0" ma:contentTypeDescription="Create a new document." ma:contentTypeScope="" ma:versionID="273ec05cdda24f389f9dd846726395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CF7C0-D635-4844-B4CF-8FA20B744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91194E-F4E7-4384-96EC-F22388DEAED4}">
  <ds:schemaRefs>
    <ds:schemaRef ds:uri="http://schemas.microsoft.com/sharepoint/v3/contenttype/forms"/>
  </ds:schemaRefs>
</ds:datastoreItem>
</file>

<file path=customXml/itemProps3.xml><?xml version="1.0" encoding="utf-8"?>
<ds:datastoreItem xmlns:ds="http://schemas.openxmlformats.org/officeDocument/2006/customXml" ds:itemID="{6EC14467-FDB3-4557-9793-D07468B559B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12</Pages>
  <Words>4636</Words>
  <Characters>26430</Characters>
  <Application>Microsoft Office Word</Application>
  <DocSecurity>0</DocSecurity>
  <Lines>220</Lines>
  <Paragraphs>62</Paragraphs>
  <ScaleCrop>false</ScaleCrop>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Shealy</dc:creator>
  <cp:keywords/>
  <dc:description/>
  <cp:lastModifiedBy>Debbie Shealy</cp:lastModifiedBy>
  <cp:revision>1</cp:revision>
  <dcterms:created xsi:type="dcterms:W3CDTF">2021-02-22T20:35:00Z</dcterms:created>
  <dcterms:modified xsi:type="dcterms:W3CDTF">2021-02-22T20:37:00Z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0x010100FD020A35B48198438A4CC1CD451218FB</vt:lpwstr>
  </property>
</Properties>
</file>